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1E4" w:rsidRDefault="00E66FDC">
      <w:pPr>
        <w:rPr>
          <w:rFonts w:ascii="Helvetica" w:hAnsi="Helvetica"/>
          <w:b/>
          <w:noProof/>
          <w:color w:val="000000"/>
          <w:sz w:val="52"/>
        </w:rPr>
      </w:pPr>
      <w:bookmarkStart w:id="0" w:name="_GoBack"/>
      <w:bookmarkEnd w:id="0"/>
      <w:r>
        <w:rPr>
          <w:noProof/>
        </w:rPr>
        <w:drawing>
          <wp:anchor distT="0" distB="0" distL="114300" distR="114300" simplePos="0" relativeHeight="251657728" behindDoc="0" locked="0" layoutInCell="1" allowOverlap="1">
            <wp:simplePos x="0" y="0"/>
            <wp:positionH relativeFrom="column">
              <wp:align>center</wp:align>
            </wp:positionH>
            <wp:positionV relativeFrom="page">
              <wp:posOffset>495300</wp:posOffset>
            </wp:positionV>
            <wp:extent cx="7772400" cy="905510"/>
            <wp:effectExtent l="0" t="0" r="0" b="8890"/>
            <wp:wrapNone/>
            <wp:docPr id="15" name="Picture 15" descr="Letter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Letterhea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0" cy="905510"/>
                    </a:xfrm>
                    <a:prstGeom prst="rect">
                      <a:avLst/>
                    </a:prstGeom>
                    <a:noFill/>
                  </pic:spPr>
                </pic:pic>
              </a:graphicData>
            </a:graphic>
            <wp14:sizeRelH relativeFrom="page">
              <wp14:pctWidth>0</wp14:pctWidth>
            </wp14:sizeRelH>
            <wp14:sizeRelV relativeFrom="page">
              <wp14:pctHeight>0</wp14:pctHeight>
            </wp14:sizeRelV>
          </wp:anchor>
        </w:drawing>
      </w:r>
    </w:p>
    <w:p w:rsidR="006571E4" w:rsidRDefault="006571E4">
      <w:pPr>
        <w:rPr>
          <w:rFonts w:ascii="Helvetica" w:hAnsi="Helvetica"/>
          <w:b/>
          <w:noProof/>
          <w:color w:val="000000"/>
          <w:sz w:val="52"/>
        </w:rPr>
      </w:pPr>
    </w:p>
    <w:p w:rsidR="001626DA" w:rsidRPr="00DD1D75" w:rsidRDefault="001626DA" w:rsidP="001626DA">
      <w:pPr>
        <w:jc w:val="center"/>
        <w:rPr>
          <w:rFonts w:ascii="Calibri" w:hAnsi="Calibri" w:cs="Calibri"/>
          <w:b/>
          <w:color w:val="0477AE"/>
          <w:sz w:val="40"/>
          <w:szCs w:val="40"/>
        </w:rPr>
      </w:pPr>
      <w:r w:rsidRPr="00DD1D75">
        <w:rPr>
          <w:rFonts w:ascii="Calibri" w:hAnsi="Calibri" w:cs="Calibri"/>
          <w:b/>
          <w:color w:val="0477AE"/>
          <w:sz w:val="40"/>
          <w:szCs w:val="40"/>
        </w:rPr>
        <w:t>GENERAL ELECTRIC’S SPECIAL TAX LOOPHOLE LETS COMPANY DODGE BILLIONS IN TAXES</w:t>
      </w:r>
    </w:p>
    <w:p w:rsidR="00692AFB" w:rsidRPr="00DD1D75" w:rsidRDefault="00692AFB" w:rsidP="001626DA">
      <w:pPr>
        <w:rPr>
          <w:rFonts w:ascii="Calibri" w:hAnsi="Calibri"/>
          <w:szCs w:val="24"/>
        </w:rPr>
      </w:pPr>
    </w:p>
    <w:p w:rsidR="001626DA" w:rsidRPr="00DD1D75" w:rsidRDefault="001626DA" w:rsidP="001626DA">
      <w:pPr>
        <w:rPr>
          <w:rFonts w:ascii="Calibri" w:hAnsi="Calibri"/>
          <w:szCs w:val="24"/>
        </w:rPr>
      </w:pPr>
      <w:r w:rsidRPr="00DD1D75">
        <w:rPr>
          <w:rFonts w:ascii="Calibri" w:hAnsi="Calibri"/>
          <w:szCs w:val="24"/>
        </w:rPr>
        <w:t>General Electric</w:t>
      </w:r>
      <w:r w:rsidR="00306FB4">
        <w:rPr>
          <w:rFonts w:ascii="Calibri" w:hAnsi="Calibri"/>
          <w:szCs w:val="24"/>
        </w:rPr>
        <w:t xml:space="preserve"> is </w:t>
      </w:r>
      <w:r w:rsidRPr="00DD1D75">
        <w:rPr>
          <w:rFonts w:ascii="Calibri" w:hAnsi="Calibri"/>
          <w:szCs w:val="24"/>
        </w:rPr>
        <w:t xml:space="preserve">a multinational giant </w:t>
      </w:r>
      <w:r w:rsidR="00306FB4">
        <w:rPr>
          <w:rFonts w:ascii="Calibri" w:hAnsi="Calibri"/>
          <w:szCs w:val="24"/>
        </w:rPr>
        <w:t>that made $27</w:t>
      </w:r>
      <w:r w:rsidR="009527D3">
        <w:rPr>
          <w:rFonts w:ascii="Calibri" w:hAnsi="Calibri"/>
          <w:szCs w:val="24"/>
        </w:rPr>
        <w:t>.5</w:t>
      </w:r>
      <w:r w:rsidR="00306FB4">
        <w:rPr>
          <w:rFonts w:ascii="Calibri" w:hAnsi="Calibri"/>
          <w:szCs w:val="24"/>
        </w:rPr>
        <w:t xml:space="preserve"> billion in profits from 2008-2012 but got a total of $3</w:t>
      </w:r>
      <w:r w:rsidR="009527D3">
        <w:rPr>
          <w:rFonts w:ascii="Calibri" w:hAnsi="Calibri"/>
          <w:szCs w:val="24"/>
        </w:rPr>
        <w:t>.1</w:t>
      </w:r>
      <w:r w:rsidR="00306FB4">
        <w:rPr>
          <w:rFonts w:ascii="Calibri" w:hAnsi="Calibri"/>
          <w:szCs w:val="24"/>
        </w:rPr>
        <w:t xml:space="preserve"> billion in federal tax refunds and paid an effective tax rate of </w:t>
      </w:r>
      <w:r w:rsidR="009527D3">
        <w:rPr>
          <w:rFonts w:ascii="Calibri" w:hAnsi="Calibri"/>
          <w:szCs w:val="24"/>
        </w:rPr>
        <w:t xml:space="preserve">negative </w:t>
      </w:r>
      <w:r w:rsidR="00306FB4">
        <w:rPr>
          <w:rFonts w:ascii="Calibri" w:hAnsi="Calibri"/>
          <w:szCs w:val="24"/>
        </w:rPr>
        <w:t xml:space="preserve">11.1 percent, </w:t>
      </w:r>
      <w:hyperlink r:id="rId9" w:history="1">
        <w:r w:rsidR="00306FB4" w:rsidRPr="009527D3">
          <w:rPr>
            <w:rStyle w:val="Hyperlink"/>
            <w:rFonts w:ascii="Calibri" w:hAnsi="Calibri"/>
            <w:szCs w:val="24"/>
          </w:rPr>
          <w:t>according to Citizens for Tax Justice</w:t>
        </w:r>
      </w:hyperlink>
      <w:r w:rsidR="00306FB4">
        <w:rPr>
          <w:rFonts w:ascii="Calibri" w:hAnsi="Calibri"/>
          <w:szCs w:val="24"/>
        </w:rPr>
        <w:t>.</w:t>
      </w:r>
      <w:r w:rsidRPr="00DD1D75">
        <w:rPr>
          <w:rStyle w:val="EndnoteReference"/>
          <w:rFonts w:ascii="Calibri" w:hAnsi="Calibri"/>
          <w:szCs w:val="24"/>
        </w:rPr>
        <w:endnoteReference w:id="1"/>
      </w:r>
      <w:r w:rsidRPr="00DD1D75">
        <w:rPr>
          <w:rFonts w:ascii="Calibri" w:hAnsi="Calibri"/>
          <w:szCs w:val="24"/>
        </w:rPr>
        <w:t xml:space="preserve"> </w:t>
      </w:r>
      <w:r w:rsidR="00306FB4">
        <w:rPr>
          <w:rFonts w:ascii="Calibri" w:hAnsi="Calibri"/>
          <w:szCs w:val="24"/>
        </w:rPr>
        <w:t xml:space="preserve">It </w:t>
      </w:r>
      <w:r w:rsidRPr="00DD1D75">
        <w:rPr>
          <w:rFonts w:ascii="Calibri" w:hAnsi="Calibri"/>
          <w:szCs w:val="24"/>
        </w:rPr>
        <w:t xml:space="preserve">has dodged </w:t>
      </w:r>
      <w:r w:rsidR="00306FB4">
        <w:rPr>
          <w:rFonts w:ascii="Calibri" w:hAnsi="Calibri"/>
          <w:szCs w:val="24"/>
        </w:rPr>
        <w:t xml:space="preserve">these </w:t>
      </w:r>
      <w:r w:rsidRPr="00DD1D75">
        <w:rPr>
          <w:rFonts w:ascii="Calibri" w:hAnsi="Calibri"/>
          <w:szCs w:val="24"/>
        </w:rPr>
        <w:t xml:space="preserve">federal income taxes, in part through an obscure tax loophole that allows it to hide profits and ship jobs offshore. That loophole—the “active financing exception”— </w:t>
      </w:r>
      <w:hyperlink r:id="rId10" w:history="1">
        <w:r w:rsidRPr="00DD1D75">
          <w:rPr>
            <w:rStyle w:val="Hyperlink"/>
            <w:rFonts w:ascii="Calibri" w:hAnsi="Calibri"/>
            <w:szCs w:val="24"/>
          </w:rPr>
          <w:t>costs $6</w:t>
        </w:r>
        <w:r w:rsidR="00012525">
          <w:rPr>
            <w:rStyle w:val="Hyperlink"/>
            <w:rFonts w:ascii="Calibri" w:hAnsi="Calibri"/>
            <w:szCs w:val="24"/>
          </w:rPr>
          <w:t>2</w:t>
        </w:r>
        <w:r w:rsidRPr="00DD1D75">
          <w:rPr>
            <w:rStyle w:val="Hyperlink"/>
            <w:rFonts w:ascii="Calibri" w:hAnsi="Calibri"/>
            <w:szCs w:val="24"/>
          </w:rPr>
          <w:t>.</w:t>
        </w:r>
        <w:r w:rsidR="00012525">
          <w:rPr>
            <w:rStyle w:val="Hyperlink"/>
            <w:rFonts w:ascii="Calibri" w:hAnsi="Calibri"/>
            <w:szCs w:val="24"/>
          </w:rPr>
          <w:t>5</w:t>
        </w:r>
        <w:r w:rsidRPr="00DD1D75">
          <w:rPr>
            <w:rStyle w:val="Hyperlink"/>
            <w:rFonts w:ascii="Calibri" w:hAnsi="Calibri"/>
            <w:szCs w:val="24"/>
          </w:rPr>
          <w:t xml:space="preserve"> billion over 10 years or about $</w:t>
        </w:r>
        <w:r w:rsidR="00012525">
          <w:rPr>
            <w:rStyle w:val="Hyperlink"/>
            <w:rFonts w:ascii="Calibri" w:hAnsi="Calibri"/>
            <w:szCs w:val="24"/>
          </w:rPr>
          <w:t>6</w:t>
        </w:r>
        <w:r w:rsidRPr="00DD1D75">
          <w:rPr>
            <w:rStyle w:val="Hyperlink"/>
            <w:rFonts w:ascii="Calibri" w:hAnsi="Calibri"/>
            <w:szCs w:val="24"/>
          </w:rPr>
          <w:t xml:space="preserve"> billion a year</w:t>
        </w:r>
      </w:hyperlink>
      <w:r w:rsidRPr="00DD1D75">
        <w:rPr>
          <w:rFonts w:ascii="Calibri" w:hAnsi="Calibri"/>
          <w:szCs w:val="24"/>
        </w:rPr>
        <w:t>, according to the Congressional Budget Office (CBO).</w:t>
      </w:r>
      <w:r w:rsidRPr="00DD1D75">
        <w:rPr>
          <w:rStyle w:val="EndnoteReference"/>
          <w:rFonts w:ascii="Calibri" w:hAnsi="Calibri"/>
          <w:szCs w:val="24"/>
        </w:rPr>
        <w:endnoteReference w:id="2"/>
      </w:r>
    </w:p>
    <w:p w:rsidR="001626DA" w:rsidRPr="00DD1D75" w:rsidRDefault="001626DA" w:rsidP="001626DA">
      <w:pPr>
        <w:rPr>
          <w:rFonts w:ascii="Calibri" w:hAnsi="Calibri"/>
          <w:szCs w:val="24"/>
        </w:rPr>
      </w:pPr>
    </w:p>
    <w:p w:rsidR="001626DA" w:rsidRPr="00DD1D75" w:rsidRDefault="001626DA" w:rsidP="001626DA">
      <w:pPr>
        <w:rPr>
          <w:rFonts w:ascii="Calibri" w:hAnsi="Calibri"/>
          <w:szCs w:val="24"/>
        </w:rPr>
      </w:pPr>
      <w:r w:rsidRPr="00DD1D75">
        <w:rPr>
          <w:rFonts w:ascii="Calibri" w:hAnsi="Calibri"/>
          <w:szCs w:val="24"/>
        </w:rPr>
        <w:t xml:space="preserve">The loophole is one of </w:t>
      </w:r>
      <w:r w:rsidR="000F500B">
        <w:rPr>
          <w:rFonts w:ascii="Calibri" w:hAnsi="Calibri"/>
          <w:szCs w:val="24"/>
        </w:rPr>
        <w:t>55</w:t>
      </w:r>
      <w:r w:rsidRPr="00DD1D75">
        <w:rPr>
          <w:rFonts w:ascii="Calibri" w:hAnsi="Calibri"/>
          <w:szCs w:val="24"/>
        </w:rPr>
        <w:t xml:space="preserve"> temporary tax breaks mostly benefitting corporations that expired at the end of 2013. GE, Wall Street </w:t>
      </w:r>
      <w:r w:rsidR="00DE324C">
        <w:rPr>
          <w:rFonts w:ascii="Calibri" w:hAnsi="Calibri"/>
          <w:szCs w:val="24"/>
        </w:rPr>
        <w:t xml:space="preserve">investment </w:t>
      </w:r>
      <w:r w:rsidRPr="00DD1D75">
        <w:rPr>
          <w:rFonts w:ascii="Calibri" w:hAnsi="Calibri"/>
          <w:szCs w:val="24"/>
        </w:rPr>
        <w:t xml:space="preserve">banks and insurance companies are lobbying hard to have this lucrative tax loophole reinstated as part of a package of tax breaks known as “tax extenders” that will be considered by Congress in 2014. </w:t>
      </w:r>
      <w:hyperlink r:id="rId11" w:history="1">
        <w:r w:rsidRPr="00DD1D75">
          <w:rPr>
            <w:rStyle w:val="Hyperlink"/>
            <w:rFonts w:ascii="Calibri" w:hAnsi="Calibri"/>
            <w:szCs w:val="24"/>
          </w:rPr>
          <w:t>The 10-year cost of the entire package of tax breaks is $4</w:t>
        </w:r>
        <w:r w:rsidR="00012525">
          <w:rPr>
            <w:rStyle w:val="Hyperlink"/>
            <w:rFonts w:ascii="Calibri" w:hAnsi="Calibri"/>
            <w:szCs w:val="24"/>
          </w:rPr>
          <w:t>10</w:t>
        </w:r>
        <w:r w:rsidRPr="00DD1D75">
          <w:rPr>
            <w:rStyle w:val="Hyperlink"/>
            <w:rFonts w:ascii="Calibri" w:hAnsi="Calibri"/>
            <w:szCs w:val="24"/>
          </w:rPr>
          <w:t xml:space="preserve"> billion</w:t>
        </w:r>
      </w:hyperlink>
      <w:r w:rsidR="000F500B">
        <w:rPr>
          <w:rStyle w:val="Hyperlink"/>
          <w:rFonts w:ascii="Calibri" w:hAnsi="Calibri"/>
          <w:szCs w:val="24"/>
        </w:rPr>
        <w:t xml:space="preserve"> to $</w:t>
      </w:r>
      <w:r w:rsidR="00012525">
        <w:rPr>
          <w:rStyle w:val="Hyperlink"/>
          <w:rFonts w:ascii="Calibri" w:hAnsi="Calibri"/>
          <w:szCs w:val="24"/>
        </w:rPr>
        <w:t>691</w:t>
      </w:r>
      <w:r w:rsidR="000F500B">
        <w:rPr>
          <w:rStyle w:val="Hyperlink"/>
          <w:rFonts w:ascii="Calibri" w:hAnsi="Calibri"/>
          <w:szCs w:val="24"/>
        </w:rPr>
        <w:t xml:space="preserve"> billion</w:t>
      </w:r>
      <w:r w:rsidRPr="00DD1D75">
        <w:rPr>
          <w:rFonts w:ascii="Calibri" w:hAnsi="Calibri"/>
        </w:rPr>
        <w:t xml:space="preserve">, </w:t>
      </w:r>
      <w:r w:rsidRPr="00DD1D75">
        <w:rPr>
          <w:rFonts w:ascii="Calibri" w:hAnsi="Calibri"/>
          <w:szCs w:val="24"/>
        </w:rPr>
        <w:t>or $4</w:t>
      </w:r>
      <w:r w:rsidR="00012525">
        <w:rPr>
          <w:rFonts w:ascii="Calibri" w:hAnsi="Calibri"/>
          <w:szCs w:val="24"/>
        </w:rPr>
        <w:t>0</w:t>
      </w:r>
      <w:r w:rsidRPr="00DD1D75">
        <w:rPr>
          <w:rFonts w:ascii="Calibri" w:hAnsi="Calibri"/>
          <w:szCs w:val="24"/>
        </w:rPr>
        <w:t xml:space="preserve"> billion </w:t>
      </w:r>
      <w:r w:rsidR="000F500B">
        <w:rPr>
          <w:rFonts w:ascii="Calibri" w:hAnsi="Calibri"/>
          <w:szCs w:val="24"/>
        </w:rPr>
        <w:t xml:space="preserve">to $70 billion </w:t>
      </w:r>
      <w:r w:rsidRPr="00DD1D75">
        <w:rPr>
          <w:rFonts w:ascii="Calibri" w:hAnsi="Calibri"/>
          <w:szCs w:val="24"/>
        </w:rPr>
        <w:t>a year, according to CBO.</w:t>
      </w:r>
      <w:r w:rsidRPr="00DD1D75">
        <w:rPr>
          <w:rStyle w:val="EndnoteReference"/>
          <w:rFonts w:ascii="Calibri" w:hAnsi="Calibri"/>
          <w:szCs w:val="24"/>
        </w:rPr>
        <w:endnoteReference w:id="3"/>
      </w:r>
      <w:r w:rsidRPr="00DD1D75">
        <w:rPr>
          <w:rFonts w:ascii="Calibri" w:hAnsi="Calibri"/>
          <w:szCs w:val="24"/>
        </w:rPr>
        <w:t xml:space="preserve"> About </w:t>
      </w:r>
      <w:r w:rsidR="00012525">
        <w:rPr>
          <w:rFonts w:ascii="Calibri" w:hAnsi="Calibri"/>
          <w:szCs w:val="24"/>
        </w:rPr>
        <w:t>9</w:t>
      </w:r>
      <w:r w:rsidRPr="00DD1D75">
        <w:rPr>
          <w:rFonts w:ascii="Calibri" w:hAnsi="Calibri"/>
          <w:szCs w:val="24"/>
        </w:rPr>
        <w:t xml:space="preserve">0 percent of the </w:t>
      </w:r>
      <w:r w:rsidR="0004722E">
        <w:rPr>
          <w:rFonts w:ascii="Calibri" w:hAnsi="Calibri"/>
          <w:szCs w:val="24"/>
        </w:rPr>
        <w:t xml:space="preserve">costs of the </w:t>
      </w:r>
      <w:r w:rsidRPr="00DD1D75">
        <w:rPr>
          <w:rFonts w:ascii="Calibri" w:hAnsi="Calibri"/>
          <w:szCs w:val="24"/>
        </w:rPr>
        <w:t xml:space="preserve">total tax breaks benefit corporations. </w:t>
      </w:r>
    </w:p>
    <w:p w:rsidR="001626DA" w:rsidRPr="00DD1D75" w:rsidRDefault="001626DA" w:rsidP="001626DA">
      <w:pPr>
        <w:rPr>
          <w:rFonts w:ascii="Calibri" w:hAnsi="Calibri"/>
          <w:szCs w:val="24"/>
        </w:rPr>
      </w:pPr>
    </w:p>
    <w:p w:rsidR="001626DA" w:rsidRPr="00DD1D75" w:rsidRDefault="00E73B20" w:rsidP="001626DA">
      <w:pPr>
        <w:outlineLvl w:val="0"/>
        <w:rPr>
          <w:rFonts w:ascii="Calibri" w:hAnsi="Calibri" w:cs="Calibri"/>
          <w:b/>
          <w:color w:val="0477AE"/>
          <w:szCs w:val="24"/>
        </w:rPr>
      </w:pPr>
      <w:r w:rsidRPr="00DD1D75">
        <w:rPr>
          <w:rFonts w:ascii="Calibri" w:hAnsi="Calibri" w:cs="Calibri"/>
          <w:b/>
          <w:color w:val="0477AE"/>
          <w:szCs w:val="24"/>
        </w:rPr>
        <w:t>DODGING TAXES BY OFFSHORING PROFITS</w:t>
      </w:r>
    </w:p>
    <w:p w:rsidR="001626DA" w:rsidRPr="00DD1D75" w:rsidRDefault="001626DA" w:rsidP="001626DA">
      <w:pPr>
        <w:rPr>
          <w:rFonts w:ascii="Calibri" w:hAnsi="Calibri"/>
          <w:sz w:val="12"/>
          <w:szCs w:val="12"/>
        </w:rPr>
      </w:pPr>
    </w:p>
    <w:p w:rsidR="001626DA" w:rsidRPr="00DD1D75" w:rsidRDefault="001626DA" w:rsidP="001626DA">
      <w:pPr>
        <w:rPr>
          <w:rFonts w:ascii="Calibri" w:hAnsi="Calibri"/>
          <w:szCs w:val="24"/>
        </w:rPr>
      </w:pPr>
      <w:r w:rsidRPr="00DD1D75">
        <w:rPr>
          <w:rFonts w:ascii="Calibri" w:hAnsi="Calibri"/>
          <w:szCs w:val="24"/>
        </w:rPr>
        <w:t xml:space="preserve">Best known to most Americans as a manufacturer of light bulbs and dishwashers, General Electric has over the past few decades expanded to also be a major financial services company at the </w:t>
      </w:r>
      <w:hyperlink r:id="rId12" w:history="1">
        <w:r w:rsidRPr="00DD1D75">
          <w:rPr>
            <w:rStyle w:val="Hyperlink"/>
            <w:rFonts w:ascii="Calibri" w:hAnsi="Calibri"/>
            <w:szCs w:val="24"/>
          </w:rPr>
          <w:t>center of the Wall Street economy</w:t>
        </w:r>
      </w:hyperlink>
      <w:r w:rsidRPr="00DD1D75">
        <w:rPr>
          <w:rStyle w:val="Hyperlink"/>
          <w:rFonts w:ascii="Calibri" w:hAnsi="Calibri"/>
          <w:szCs w:val="24"/>
        </w:rPr>
        <w:t>.</w:t>
      </w:r>
      <w:r w:rsidRPr="00DD1D75">
        <w:rPr>
          <w:rStyle w:val="EndnoteReference"/>
          <w:rFonts w:ascii="Calibri" w:hAnsi="Calibri"/>
          <w:szCs w:val="24"/>
        </w:rPr>
        <w:endnoteReference w:id="4"/>
      </w:r>
      <w:r w:rsidRPr="00DD1D75">
        <w:rPr>
          <w:rFonts w:ascii="Calibri" w:hAnsi="Calibri"/>
          <w:szCs w:val="24"/>
        </w:rPr>
        <w:t xml:space="preserve">  </w:t>
      </w:r>
      <w:hyperlink r:id="rId13" w:history="1">
        <w:r w:rsidRPr="00DD1D75">
          <w:rPr>
            <w:rStyle w:val="Hyperlink"/>
            <w:rFonts w:ascii="Calibri" w:hAnsi="Calibri"/>
            <w:szCs w:val="24"/>
          </w:rPr>
          <w:t>About half of the company’s profits</w:t>
        </w:r>
      </w:hyperlink>
      <w:r w:rsidRPr="00DD1D75">
        <w:rPr>
          <w:rFonts w:ascii="Calibri" w:hAnsi="Calibri"/>
          <w:szCs w:val="24"/>
        </w:rPr>
        <w:t xml:space="preserve"> come from its financing arm, GE Capital.</w:t>
      </w:r>
      <w:r w:rsidRPr="00DD1D75">
        <w:rPr>
          <w:rStyle w:val="EndnoteReference"/>
          <w:rFonts w:ascii="Calibri" w:hAnsi="Calibri"/>
          <w:szCs w:val="24"/>
        </w:rPr>
        <w:endnoteReference w:id="5"/>
      </w:r>
      <w:r w:rsidRPr="00DD1D75">
        <w:rPr>
          <w:rFonts w:ascii="Calibri" w:hAnsi="Calibri"/>
          <w:szCs w:val="24"/>
        </w:rPr>
        <w:t xml:space="preserve"> </w:t>
      </w:r>
    </w:p>
    <w:p w:rsidR="001626DA" w:rsidRPr="00DD1D75" w:rsidRDefault="001626DA" w:rsidP="001626DA">
      <w:pPr>
        <w:rPr>
          <w:rFonts w:ascii="Calibri" w:hAnsi="Calibri" w:cs="Calibri"/>
          <w:b/>
          <w:color w:val="0477AE"/>
          <w:szCs w:val="24"/>
        </w:rPr>
      </w:pPr>
    </w:p>
    <w:p w:rsidR="001626DA" w:rsidRPr="00DD1D75" w:rsidRDefault="001626DA" w:rsidP="001626DA">
      <w:pPr>
        <w:rPr>
          <w:rFonts w:ascii="Calibri" w:hAnsi="Calibri"/>
          <w:szCs w:val="24"/>
        </w:rPr>
      </w:pPr>
      <w:r w:rsidRPr="00DD1D75">
        <w:rPr>
          <w:rFonts w:ascii="Calibri" w:hAnsi="Calibri"/>
          <w:szCs w:val="24"/>
        </w:rPr>
        <w:t xml:space="preserve">Like a lot of huge corporations, GE dodges taxes by stashing profits offshore. A loophole in federal tax law allows companies to avoid paying </w:t>
      </w:r>
      <w:smartTag w:uri="urn:schemas-microsoft-com:office:smarttags" w:element="country-region">
        <w:r w:rsidRPr="00DD1D75">
          <w:rPr>
            <w:rFonts w:ascii="Calibri" w:hAnsi="Calibri"/>
            <w:szCs w:val="24"/>
          </w:rPr>
          <w:t>U.S.</w:t>
        </w:r>
      </w:smartTag>
      <w:r w:rsidRPr="00DD1D75">
        <w:rPr>
          <w:rFonts w:ascii="Calibri" w:hAnsi="Calibri"/>
          <w:szCs w:val="24"/>
        </w:rPr>
        <w:t xml:space="preserve"> taxes on profits they earn (or claim to earn) outside the </w:t>
      </w:r>
      <w:smartTag w:uri="urn:schemas-microsoft-com:office:smarttags" w:element="place">
        <w:smartTag w:uri="urn:schemas-microsoft-com:office:smarttags" w:element="country-region">
          <w:r w:rsidRPr="00DD1D75">
            <w:rPr>
              <w:rFonts w:ascii="Calibri" w:hAnsi="Calibri"/>
              <w:szCs w:val="24"/>
            </w:rPr>
            <w:t>United States</w:t>
          </w:r>
        </w:smartTag>
      </w:smartTag>
      <w:r w:rsidRPr="00DD1D75">
        <w:rPr>
          <w:rFonts w:ascii="Calibri" w:hAnsi="Calibri"/>
          <w:szCs w:val="24"/>
        </w:rPr>
        <w:t xml:space="preserve"> until the income is brought back home—a tax break called “deferral.” As a result, </w:t>
      </w:r>
      <w:hyperlink r:id="rId14" w:history="1">
        <w:r w:rsidRPr="00DD1D75">
          <w:rPr>
            <w:rStyle w:val="Hyperlink"/>
            <w:rFonts w:ascii="Calibri" w:hAnsi="Calibri"/>
            <w:szCs w:val="24"/>
          </w:rPr>
          <w:t>U.S. companies have indefinitely stockpiled some $2 trillion offshore</w:t>
        </w:r>
      </w:hyperlink>
      <w:r w:rsidRPr="00DD1D75">
        <w:rPr>
          <w:rStyle w:val="Hyperlink"/>
          <w:rFonts w:ascii="Calibri" w:hAnsi="Calibri"/>
          <w:szCs w:val="24"/>
        </w:rPr>
        <w:t>.</w:t>
      </w:r>
      <w:r w:rsidRPr="00DD1D75">
        <w:rPr>
          <w:rStyle w:val="EndnoteReference"/>
          <w:rFonts w:ascii="Calibri" w:hAnsi="Calibri"/>
          <w:szCs w:val="24"/>
        </w:rPr>
        <w:endnoteReference w:id="6"/>
      </w:r>
      <w:r w:rsidRPr="00DD1D75">
        <w:rPr>
          <w:rFonts w:ascii="Calibri" w:hAnsi="Calibri"/>
          <w:szCs w:val="24"/>
        </w:rPr>
        <w:t xml:space="preserve"> In 2012, GE had the most offshored profits of any American corporation—$108 billion. </w:t>
      </w:r>
      <w:hyperlink r:id="rId15" w:history="1">
        <w:r w:rsidRPr="00DD1D75">
          <w:rPr>
            <w:rStyle w:val="Hyperlink"/>
            <w:rFonts w:ascii="Calibri" w:hAnsi="Calibri"/>
            <w:szCs w:val="24"/>
          </w:rPr>
          <w:t>GE has stashed its overseas profits in at least 18 tax havens</w:t>
        </w:r>
      </w:hyperlink>
      <w:r w:rsidRPr="00DD1D75">
        <w:rPr>
          <w:rFonts w:ascii="Calibri" w:hAnsi="Calibri"/>
          <w:szCs w:val="24"/>
        </w:rPr>
        <w:t>, where it pays little if any taxes.</w:t>
      </w:r>
      <w:r w:rsidRPr="00DD1D75">
        <w:rPr>
          <w:rStyle w:val="EndnoteReference"/>
          <w:rFonts w:ascii="Calibri" w:hAnsi="Calibri"/>
          <w:szCs w:val="24"/>
        </w:rPr>
        <w:endnoteReference w:id="7"/>
      </w:r>
    </w:p>
    <w:p w:rsidR="001626DA" w:rsidRPr="00DD1D75" w:rsidRDefault="001626DA" w:rsidP="001626DA">
      <w:pPr>
        <w:rPr>
          <w:rFonts w:ascii="Calibri" w:hAnsi="Calibri"/>
          <w:szCs w:val="24"/>
        </w:rPr>
      </w:pPr>
    </w:p>
    <w:p w:rsidR="001626DA" w:rsidRPr="00DD1D75" w:rsidRDefault="00E73B20" w:rsidP="001626DA">
      <w:pPr>
        <w:outlineLvl w:val="0"/>
        <w:rPr>
          <w:rFonts w:ascii="Calibri" w:hAnsi="Calibri" w:cs="Calibri"/>
          <w:b/>
          <w:color w:val="0477AE"/>
          <w:szCs w:val="24"/>
        </w:rPr>
      </w:pPr>
      <w:r w:rsidRPr="00DD1D75">
        <w:rPr>
          <w:rFonts w:ascii="Calibri" w:hAnsi="Calibri" w:cs="Calibri"/>
          <w:b/>
          <w:color w:val="0477AE"/>
          <w:szCs w:val="24"/>
        </w:rPr>
        <w:t>CONGRESS PLUGGED THE LOOPHOLE BUT CORPORATIONS REOPENED IT</w:t>
      </w:r>
    </w:p>
    <w:p w:rsidR="001626DA" w:rsidRPr="00DD1D75" w:rsidRDefault="001626DA" w:rsidP="001626DA">
      <w:pPr>
        <w:rPr>
          <w:rFonts w:ascii="Calibri" w:hAnsi="Calibri"/>
          <w:sz w:val="12"/>
          <w:szCs w:val="12"/>
        </w:rPr>
      </w:pPr>
    </w:p>
    <w:p w:rsidR="001626DA" w:rsidRPr="00DD1D75" w:rsidRDefault="001626DA" w:rsidP="001626DA">
      <w:pPr>
        <w:rPr>
          <w:rFonts w:ascii="Calibri" w:hAnsi="Calibri"/>
          <w:szCs w:val="24"/>
        </w:rPr>
      </w:pPr>
      <w:r w:rsidRPr="00DD1D75">
        <w:rPr>
          <w:rFonts w:ascii="Calibri" w:hAnsi="Calibri"/>
          <w:szCs w:val="24"/>
        </w:rPr>
        <w:t xml:space="preserve">Long ago Congress realized that certain financial income like interest, dividends, rents and royalties could be easily manipulated to make profits earned in America look as if they were generated offshore, thereby avoiding U.S. taxes. To deal with this, a section of the tax code (often referred to as simply “subpart F”) makes those profits ineligible for deferral and therefore immediately subject to U.S. corporate income taxes (less any taxes paid to the country where the profits were claimed to be earned). </w:t>
      </w:r>
      <w:hyperlink r:id="rId16" w:anchor=".UupMvIVOQ7A" w:history="1">
        <w:r w:rsidRPr="00DD1D75">
          <w:rPr>
            <w:rStyle w:val="Hyperlink"/>
            <w:rFonts w:ascii="Calibri" w:hAnsi="Calibri"/>
            <w:szCs w:val="24"/>
          </w:rPr>
          <w:t xml:space="preserve">The tax code demands that corporations </w:t>
        </w:r>
        <w:r w:rsidRPr="00DD1D75">
          <w:rPr>
            <w:rStyle w:val="Hyperlink"/>
            <w:rFonts w:ascii="Calibri" w:hAnsi="Calibri"/>
            <w:szCs w:val="24"/>
          </w:rPr>
          <w:lastRenderedPageBreak/>
          <w:t>pay taxes on such “passive” income</w:t>
        </w:r>
      </w:hyperlink>
      <w:r w:rsidRPr="00DD1D75">
        <w:rPr>
          <w:rStyle w:val="EndnoteReference"/>
          <w:rFonts w:ascii="Calibri" w:hAnsi="Calibri"/>
          <w:szCs w:val="24"/>
        </w:rPr>
        <w:endnoteReference w:id="8"/>
      </w:r>
      <w:r w:rsidRPr="00DD1D75">
        <w:rPr>
          <w:rFonts w:ascii="Calibri" w:hAnsi="Calibri"/>
          <w:szCs w:val="24"/>
        </w:rPr>
        <w:t xml:space="preserve"> the year it’s received, regardless of where it was claimed to have been made. </w:t>
      </w:r>
    </w:p>
    <w:p w:rsidR="001626DA" w:rsidRPr="00DD1D75" w:rsidRDefault="001626DA" w:rsidP="001626DA">
      <w:pPr>
        <w:rPr>
          <w:rFonts w:ascii="Calibri" w:hAnsi="Calibri"/>
          <w:szCs w:val="24"/>
        </w:rPr>
      </w:pPr>
    </w:p>
    <w:p w:rsidR="001626DA" w:rsidRPr="00DD1D75" w:rsidRDefault="001626DA" w:rsidP="001626DA">
      <w:pPr>
        <w:rPr>
          <w:rFonts w:ascii="Calibri" w:hAnsi="Calibri" w:cs="Calibri"/>
          <w:b/>
          <w:color w:val="0477AE"/>
          <w:szCs w:val="24"/>
        </w:rPr>
      </w:pPr>
      <w:r w:rsidRPr="00DD1D75">
        <w:rPr>
          <w:rFonts w:ascii="Calibri" w:hAnsi="Calibri"/>
          <w:szCs w:val="24"/>
        </w:rPr>
        <w:t xml:space="preserve">This provision, often called the Subpart F “active financing exception,” is an exception to subpart F. Congress eliminated the exception in the 1986 tax reform that swept away many loopholes.  But in 1997, Congress caved to pressure and passed a “temporary” amendment to the tax code, bringing back the exception. Congress has “temporarily” extended this corporate tax break many times since then, usually for one or two years at a time as part of temporary tax- extenders legislation. </w:t>
      </w:r>
      <w:hyperlink r:id="rId17" w:history="1">
        <w:r w:rsidRPr="00DD1D75">
          <w:rPr>
            <w:rStyle w:val="Hyperlink"/>
            <w:rFonts w:ascii="Calibri" w:hAnsi="Calibri"/>
            <w:szCs w:val="24"/>
          </w:rPr>
          <w:t>The so-called “active financing exception” allows big financial firms like G.E. Capital (a subsidiary of General Electric) to dodge billions of dollars in taxes</w:t>
        </w:r>
      </w:hyperlink>
      <w:r w:rsidRPr="00DD1D75">
        <w:rPr>
          <w:rFonts w:ascii="Calibri" w:hAnsi="Calibri"/>
          <w:szCs w:val="24"/>
        </w:rPr>
        <w:t xml:space="preserve"> simply by claiming that U.S.-based financing income is actually being generated offshore.</w:t>
      </w:r>
      <w:r w:rsidRPr="00DD1D75">
        <w:rPr>
          <w:rStyle w:val="EndnoteReference"/>
          <w:rFonts w:ascii="Calibri" w:hAnsi="Calibri"/>
          <w:szCs w:val="24"/>
        </w:rPr>
        <w:endnoteReference w:id="9"/>
      </w:r>
      <w:r w:rsidRPr="00DD1D75">
        <w:rPr>
          <w:rFonts w:ascii="Calibri" w:hAnsi="Calibri"/>
          <w:szCs w:val="24"/>
        </w:rPr>
        <w:t xml:space="preserve"> </w:t>
      </w:r>
    </w:p>
    <w:p w:rsidR="001626DA" w:rsidRPr="00DD1D75" w:rsidRDefault="001626DA" w:rsidP="001626DA">
      <w:pPr>
        <w:outlineLvl w:val="0"/>
        <w:rPr>
          <w:rFonts w:ascii="Calibri" w:hAnsi="Calibri" w:cs="Calibri"/>
          <w:b/>
          <w:color w:val="0477AE"/>
          <w:szCs w:val="24"/>
        </w:rPr>
      </w:pPr>
    </w:p>
    <w:p w:rsidR="001626DA" w:rsidRPr="00DD1D75" w:rsidRDefault="00E73B20" w:rsidP="001626DA">
      <w:pPr>
        <w:outlineLvl w:val="0"/>
        <w:rPr>
          <w:rFonts w:ascii="Calibri" w:hAnsi="Calibri" w:cs="Calibri"/>
          <w:b/>
          <w:color w:val="0477AE"/>
          <w:szCs w:val="24"/>
        </w:rPr>
      </w:pPr>
      <w:r w:rsidRPr="00DD1D75">
        <w:rPr>
          <w:rFonts w:ascii="Calibri" w:hAnsi="Calibri" w:cs="Calibri"/>
          <w:b/>
          <w:color w:val="0477AE"/>
          <w:szCs w:val="24"/>
        </w:rPr>
        <w:t>EXCEPTIONAL RETURNS FOR GE</w:t>
      </w:r>
    </w:p>
    <w:p w:rsidR="001626DA" w:rsidRPr="00DD1D75" w:rsidRDefault="001626DA" w:rsidP="001626DA">
      <w:pPr>
        <w:rPr>
          <w:rFonts w:ascii="Calibri" w:hAnsi="Calibri"/>
          <w:sz w:val="12"/>
          <w:szCs w:val="12"/>
        </w:rPr>
      </w:pPr>
    </w:p>
    <w:p w:rsidR="001626DA" w:rsidRPr="00DD1D75" w:rsidRDefault="001626DA" w:rsidP="001626DA">
      <w:pPr>
        <w:rPr>
          <w:rFonts w:ascii="Calibri" w:hAnsi="Calibri"/>
          <w:szCs w:val="24"/>
        </w:rPr>
      </w:pPr>
      <w:r w:rsidRPr="00DD1D75">
        <w:rPr>
          <w:rFonts w:ascii="Calibri" w:hAnsi="Calibri"/>
          <w:szCs w:val="24"/>
        </w:rPr>
        <w:t xml:space="preserve">The “active financing exception” has been a real moneymaker for General Electric. It’s one of the primary reasons </w:t>
      </w:r>
      <w:hyperlink r:id="rId18" w:history="1">
        <w:r w:rsidRPr="00FD0208">
          <w:rPr>
            <w:rStyle w:val="Hyperlink"/>
            <w:rFonts w:ascii="Calibri" w:hAnsi="Calibri"/>
            <w:szCs w:val="24"/>
          </w:rPr>
          <w:t xml:space="preserve">this highly profitable corporation paid a </w:t>
        </w:r>
        <w:r w:rsidR="00FD0208" w:rsidRPr="00FD0208">
          <w:rPr>
            <w:rStyle w:val="Hyperlink"/>
            <w:rFonts w:ascii="Calibri" w:hAnsi="Calibri"/>
            <w:szCs w:val="24"/>
          </w:rPr>
          <w:t xml:space="preserve">negative 11.1 </w:t>
        </w:r>
        <w:r w:rsidRPr="00FD0208">
          <w:rPr>
            <w:rStyle w:val="Hyperlink"/>
            <w:rFonts w:ascii="Calibri" w:hAnsi="Calibri"/>
            <w:szCs w:val="24"/>
          </w:rPr>
          <w:t>percent fede</w:t>
        </w:r>
        <w:r w:rsidR="00271217">
          <w:rPr>
            <w:rStyle w:val="Hyperlink"/>
            <w:rFonts w:ascii="Calibri" w:hAnsi="Calibri"/>
            <w:szCs w:val="24"/>
          </w:rPr>
          <w:t>ral income tax rate between 2008</w:t>
        </w:r>
        <w:r w:rsidRPr="00FD0208">
          <w:rPr>
            <w:rStyle w:val="Hyperlink"/>
            <w:rFonts w:ascii="Calibri" w:hAnsi="Calibri"/>
            <w:szCs w:val="24"/>
          </w:rPr>
          <w:t xml:space="preserve"> and 201</w:t>
        </w:r>
        <w:r w:rsidR="00FD0208" w:rsidRPr="00FD0208">
          <w:rPr>
            <w:rStyle w:val="Hyperlink"/>
            <w:rFonts w:ascii="Calibri" w:hAnsi="Calibri"/>
            <w:szCs w:val="24"/>
          </w:rPr>
          <w:t>2</w:t>
        </w:r>
        <w:r w:rsidRPr="00FD0208">
          <w:rPr>
            <w:rStyle w:val="Hyperlink"/>
            <w:rFonts w:ascii="Calibri" w:hAnsi="Calibri"/>
            <w:szCs w:val="24"/>
          </w:rPr>
          <w:t>.</w:t>
        </w:r>
      </w:hyperlink>
      <w:r w:rsidRPr="00FD0208">
        <w:rPr>
          <w:rStyle w:val="EndnoteReference"/>
          <w:rFonts w:ascii="Calibri" w:hAnsi="Calibri"/>
          <w:szCs w:val="24"/>
        </w:rPr>
        <w:endnoteReference w:id="10"/>
      </w:r>
      <w:r w:rsidRPr="00FD0208">
        <w:rPr>
          <w:rStyle w:val="Hyperlink"/>
          <w:rFonts w:ascii="Calibri" w:hAnsi="Calibri"/>
          <w:szCs w:val="24"/>
          <w:u w:val="none"/>
        </w:rPr>
        <w:t xml:space="preserve"> </w:t>
      </w:r>
      <w:r w:rsidRPr="00DD1D75">
        <w:rPr>
          <w:rFonts w:ascii="Calibri" w:hAnsi="Calibri"/>
          <w:szCs w:val="24"/>
        </w:rPr>
        <w:t xml:space="preserve">That rate is a tiny fraction of the corporate tax code’s statutory 35 percent rate. During those </w:t>
      </w:r>
      <w:r w:rsidR="00FD0208">
        <w:rPr>
          <w:rFonts w:ascii="Calibri" w:hAnsi="Calibri"/>
          <w:szCs w:val="24"/>
        </w:rPr>
        <w:t xml:space="preserve">five </w:t>
      </w:r>
      <w:r w:rsidRPr="00DD1D75">
        <w:rPr>
          <w:rFonts w:ascii="Calibri" w:hAnsi="Calibri"/>
          <w:szCs w:val="24"/>
        </w:rPr>
        <w:t>years GE had profits of $</w:t>
      </w:r>
      <w:r w:rsidR="00FD0208">
        <w:rPr>
          <w:rFonts w:ascii="Calibri" w:hAnsi="Calibri"/>
          <w:szCs w:val="24"/>
        </w:rPr>
        <w:t>27</w:t>
      </w:r>
      <w:r w:rsidRPr="00DD1D75">
        <w:rPr>
          <w:rFonts w:ascii="Calibri" w:hAnsi="Calibri"/>
          <w:szCs w:val="24"/>
        </w:rPr>
        <w:t>.</w:t>
      </w:r>
      <w:r w:rsidR="00FD0208">
        <w:rPr>
          <w:rFonts w:ascii="Calibri" w:hAnsi="Calibri"/>
          <w:szCs w:val="24"/>
        </w:rPr>
        <w:t>5</w:t>
      </w:r>
      <w:r w:rsidRPr="00DD1D75">
        <w:rPr>
          <w:rFonts w:ascii="Calibri" w:hAnsi="Calibri"/>
          <w:szCs w:val="24"/>
        </w:rPr>
        <w:t xml:space="preserve"> billion but </w:t>
      </w:r>
      <w:r w:rsidR="00FD0208">
        <w:rPr>
          <w:rFonts w:ascii="Calibri" w:hAnsi="Calibri"/>
          <w:szCs w:val="24"/>
        </w:rPr>
        <w:t xml:space="preserve">got refunds totaling </w:t>
      </w:r>
      <w:r w:rsidRPr="00DD1D75">
        <w:rPr>
          <w:rFonts w:ascii="Calibri" w:hAnsi="Calibri"/>
          <w:szCs w:val="24"/>
        </w:rPr>
        <w:t>$</w:t>
      </w:r>
      <w:r w:rsidR="00FD0208">
        <w:rPr>
          <w:rFonts w:ascii="Calibri" w:hAnsi="Calibri"/>
          <w:szCs w:val="24"/>
        </w:rPr>
        <w:t>3.</w:t>
      </w:r>
      <w:r w:rsidRPr="00DD1D75">
        <w:rPr>
          <w:rFonts w:ascii="Calibri" w:hAnsi="Calibri"/>
          <w:szCs w:val="24"/>
        </w:rPr>
        <w:t>1 billion in federal income taxes</w:t>
      </w:r>
      <w:r w:rsidR="00FD0208">
        <w:rPr>
          <w:rFonts w:ascii="Calibri" w:hAnsi="Calibri"/>
          <w:szCs w:val="24"/>
        </w:rPr>
        <w:t>; i</w:t>
      </w:r>
      <w:r w:rsidRPr="00DD1D75">
        <w:rPr>
          <w:rFonts w:ascii="Calibri" w:hAnsi="Calibri"/>
          <w:szCs w:val="24"/>
        </w:rPr>
        <w:t xml:space="preserve">n </w:t>
      </w:r>
      <w:r w:rsidR="00FD0208">
        <w:rPr>
          <w:rFonts w:ascii="Calibri" w:hAnsi="Calibri"/>
          <w:szCs w:val="24"/>
        </w:rPr>
        <w:t xml:space="preserve">three </w:t>
      </w:r>
      <w:r w:rsidRPr="00DD1D75">
        <w:rPr>
          <w:rFonts w:ascii="Calibri" w:hAnsi="Calibri"/>
          <w:szCs w:val="24"/>
        </w:rPr>
        <w:t xml:space="preserve">of those years the company got a tax refund.   </w:t>
      </w:r>
    </w:p>
    <w:p w:rsidR="001626DA" w:rsidRPr="00DD1D75" w:rsidRDefault="001626DA" w:rsidP="001626DA">
      <w:pPr>
        <w:rPr>
          <w:rFonts w:ascii="Calibri" w:hAnsi="Calibri" w:cs="Calibri"/>
          <w:b/>
          <w:color w:val="0477AE"/>
          <w:szCs w:val="24"/>
        </w:rPr>
      </w:pPr>
    </w:p>
    <w:p w:rsidR="001626DA" w:rsidRPr="00DD1D75" w:rsidRDefault="001626DA" w:rsidP="001626DA">
      <w:pPr>
        <w:rPr>
          <w:rStyle w:val="Hyperlink"/>
          <w:rFonts w:ascii="Calibri" w:hAnsi="Calibri"/>
          <w:szCs w:val="24"/>
        </w:rPr>
      </w:pPr>
      <w:r w:rsidRPr="00DD1D75">
        <w:rPr>
          <w:rFonts w:ascii="Calibri" w:hAnsi="Calibri"/>
          <w:szCs w:val="24"/>
        </w:rPr>
        <w:t xml:space="preserve">The “active financing exception” is so important to GE’s bottom line that whenever the tax break nears expiration, the company coordinates an extensive lobbying effort to preserve it.  At one point, </w:t>
      </w:r>
      <w:hyperlink r:id="rId19" w:history="1">
        <w:r w:rsidRPr="00DD1D75">
          <w:rPr>
            <w:rStyle w:val="Hyperlink"/>
            <w:rFonts w:ascii="Calibri" w:hAnsi="Calibri"/>
            <w:szCs w:val="24"/>
          </w:rPr>
          <w:t>the head of GE’s tax department dropped to one knee to beg the staff of the House Ways and Means Committee to save GE’s favorite loophole.</w:t>
        </w:r>
        <w:r w:rsidRPr="00DD1D75">
          <w:rPr>
            <w:rStyle w:val="EndnoteReference"/>
            <w:rFonts w:ascii="Calibri" w:hAnsi="Calibri"/>
            <w:color w:val="0000FF"/>
            <w:szCs w:val="24"/>
          </w:rPr>
          <w:endnoteReference w:id="11"/>
        </w:r>
      </w:hyperlink>
    </w:p>
    <w:p w:rsidR="001626DA" w:rsidRPr="00DD1D75" w:rsidRDefault="001626DA" w:rsidP="001626DA">
      <w:pPr>
        <w:rPr>
          <w:rFonts w:ascii="Calibri" w:hAnsi="Calibri" w:cs="Calibri"/>
          <w:b/>
          <w:color w:val="0477AE"/>
          <w:szCs w:val="24"/>
        </w:rPr>
      </w:pPr>
    </w:p>
    <w:p w:rsidR="001626DA" w:rsidRPr="00DD1D75" w:rsidRDefault="00E73B20" w:rsidP="001626DA">
      <w:pPr>
        <w:outlineLvl w:val="0"/>
        <w:rPr>
          <w:rFonts w:ascii="Calibri" w:hAnsi="Calibri" w:cs="Calibri"/>
          <w:b/>
          <w:color w:val="0477AE"/>
          <w:szCs w:val="24"/>
        </w:rPr>
      </w:pPr>
      <w:r w:rsidRPr="00DD1D75">
        <w:rPr>
          <w:rFonts w:ascii="Calibri" w:hAnsi="Calibri" w:cs="Calibri"/>
          <w:b/>
          <w:color w:val="0477AE"/>
          <w:szCs w:val="24"/>
        </w:rPr>
        <w:t xml:space="preserve">WHO SHOULD PAY? </w:t>
      </w:r>
    </w:p>
    <w:p w:rsidR="001626DA" w:rsidRPr="00DD1D75" w:rsidRDefault="001626DA" w:rsidP="001626DA">
      <w:pPr>
        <w:rPr>
          <w:rFonts w:ascii="Calibri" w:hAnsi="Calibri"/>
          <w:sz w:val="12"/>
          <w:szCs w:val="12"/>
        </w:rPr>
      </w:pPr>
    </w:p>
    <w:p w:rsidR="001626DA" w:rsidRPr="00DD1D75" w:rsidRDefault="001626DA" w:rsidP="001626DA">
      <w:pPr>
        <w:rPr>
          <w:rFonts w:ascii="Calibri" w:hAnsi="Calibri"/>
          <w:szCs w:val="24"/>
        </w:rPr>
      </w:pPr>
      <w:r w:rsidRPr="00DD1D75">
        <w:rPr>
          <w:rFonts w:ascii="Calibri" w:hAnsi="Calibri"/>
          <w:szCs w:val="24"/>
        </w:rPr>
        <w:t>The “active financing exception” loophole makes billions for GE and the rest of us pay for it: through higher taxes, fewer services or more debt. This is money we could be using to fix roads, build schools, find new medical cures and provide training for the unemployed.</w:t>
      </w:r>
    </w:p>
    <w:p w:rsidR="001626DA" w:rsidRPr="00DD1D75" w:rsidRDefault="001626DA" w:rsidP="001626DA">
      <w:pPr>
        <w:rPr>
          <w:rFonts w:ascii="Calibri" w:hAnsi="Calibri"/>
          <w:szCs w:val="24"/>
        </w:rPr>
      </w:pPr>
    </w:p>
    <w:p w:rsidR="001626DA" w:rsidRPr="00DD1D75" w:rsidRDefault="001626DA" w:rsidP="001626DA">
      <w:pPr>
        <w:rPr>
          <w:rFonts w:ascii="Calibri" w:hAnsi="Calibri"/>
          <w:szCs w:val="24"/>
        </w:rPr>
      </w:pPr>
      <w:r w:rsidRPr="00DD1D75">
        <w:rPr>
          <w:rFonts w:ascii="Calibri" w:hAnsi="Calibri"/>
          <w:szCs w:val="24"/>
        </w:rPr>
        <w:t xml:space="preserve">Senate Minority Leader Mitch McConnell has said that the package of “tax extenders,” which includes GE’s special loophole, </w:t>
      </w:r>
      <w:hyperlink r:id="rId20" w:history="1">
        <w:r w:rsidRPr="00DD1D75">
          <w:rPr>
            <w:rStyle w:val="Hyperlink"/>
            <w:rFonts w:ascii="Calibri" w:hAnsi="Calibri"/>
            <w:szCs w:val="24"/>
          </w:rPr>
          <w:t>should not have to be paid for</w:t>
        </w:r>
      </w:hyperlink>
      <w:r w:rsidRPr="00DD1D75">
        <w:rPr>
          <w:rFonts w:ascii="Calibri" w:hAnsi="Calibri"/>
          <w:szCs w:val="24"/>
        </w:rPr>
        <w:t>.</w:t>
      </w:r>
      <w:r w:rsidRPr="00DD1D75">
        <w:rPr>
          <w:rStyle w:val="EndnoteReference"/>
          <w:rFonts w:ascii="Calibri" w:hAnsi="Calibri"/>
          <w:szCs w:val="24"/>
        </w:rPr>
        <w:endnoteReference w:id="12"/>
      </w:r>
      <w:r w:rsidRPr="00DD1D75">
        <w:rPr>
          <w:rFonts w:ascii="Calibri" w:hAnsi="Calibri"/>
          <w:szCs w:val="24"/>
        </w:rPr>
        <w:t xml:space="preserve"> Conversely, </w:t>
      </w:r>
      <w:hyperlink r:id="rId21" w:history="1">
        <w:r w:rsidRPr="00DD1D75">
          <w:rPr>
            <w:rStyle w:val="Hyperlink"/>
            <w:rFonts w:ascii="Calibri" w:hAnsi="Calibri"/>
            <w:szCs w:val="24"/>
          </w:rPr>
          <w:t>he insisted that providing emergency unemployment insurance for the long-term jobless should be paid for</w:t>
        </w:r>
      </w:hyperlink>
      <w:r w:rsidRPr="00DD1D75">
        <w:rPr>
          <w:rFonts w:ascii="Calibri" w:hAnsi="Calibri"/>
          <w:szCs w:val="24"/>
        </w:rPr>
        <w:t>.</w:t>
      </w:r>
      <w:r w:rsidRPr="00DD1D75">
        <w:rPr>
          <w:rStyle w:val="EndnoteReference"/>
          <w:rFonts w:ascii="Calibri" w:hAnsi="Calibri"/>
          <w:szCs w:val="24"/>
        </w:rPr>
        <w:endnoteReference w:id="13"/>
      </w:r>
      <w:r w:rsidRPr="00DD1D75">
        <w:rPr>
          <w:rFonts w:ascii="Calibri" w:hAnsi="Calibri"/>
          <w:szCs w:val="24"/>
        </w:rPr>
        <w:t xml:space="preserve"> This double-standard is common in Congress—tax breaks for big campaign contributors are doled out for free. Meanwhile, services that benefit average Americans have to be paid for by cutting back other vital services, rather than pay for them by making big corporations pay their fair share of taxes. </w:t>
      </w:r>
    </w:p>
    <w:p w:rsidR="001626DA" w:rsidRPr="00DD1D75" w:rsidRDefault="001626DA" w:rsidP="001626DA">
      <w:pPr>
        <w:rPr>
          <w:rFonts w:ascii="Calibri" w:hAnsi="Calibri"/>
          <w:szCs w:val="24"/>
        </w:rPr>
      </w:pPr>
    </w:p>
    <w:p w:rsidR="001626DA" w:rsidRPr="00DD1D75" w:rsidRDefault="001626DA" w:rsidP="001626DA">
      <w:pPr>
        <w:rPr>
          <w:rFonts w:ascii="Calibri" w:hAnsi="Calibri"/>
          <w:szCs w:val="24"/>
        </w:rPr>
      </w:pPr>
      <w:r w:rsidRPr="00DD1D75">
        <w:rPr>
          <w:rFonts w:ascii="Calibri" w:hAnsi="Calibri"/>
          <w:szCs w:val="24"/>
        </w:rPr>
        <w:t xml:space="preserve">It’s time for Congress to draw the line with this special-interest tax loophole that benefits General Electric, Wall Street </w:t>
      </w:r>
      <w:r w:rsidR="00DE324C">
        <w:rPr>
          <w:rFonts w:ascii="Calibri" w:hAnsi="Calibri"/>
          <w:szCs w:val="24"/>
        </w:rPr>
        <w:t xml:space="preserve">investment </w:t>
      </w:r>
      <w:r w:rsidRPr="00DD1D75">
        <w:rPr>
          <w:rFonts w:ascii="Calibri" w:hAnsi="Calibri"/>
          <w:szCs w:val="24"/>
        </w:rPr>
        <w:t xml:space="preserve">banks and big insurers. End it now. </w:t>
      </w:r>
    </w:p>
    <w:p w:rsidR="00F9574C" w:rsidRDefault="00F9574C" w:rsidP="00E73B20">
      <w:pPr>
        <w:outlineLvl w:val="0"/>
        <w:rPr>
          <w:rFonts w:ascii="Calibri" w:hAnsi="Calibri" w:cs="Calibri"/>
          <w:b/>
          <w:color w:val="0477AE"/>
          <w:szCs w:val="24"/>
        </w:rPr>
      </w:pPr>
    </w:p>
    <w:p w:rsidR="00F9574C" w:rsidRDefault="00F9574C" w:rsidP="00E73B20">
      <w:pPr>
        <w:outlineLvl w:val="0"/>
        <w:rPr>
          <w:rFonts w:ascii="Calibri" w:hAnsi="Calibri" w:cs="Calibri"/>
          <w:b/>
          <w:color w:val="0477AE"/>
          <w:szCs w:val="24"/>
        </w:rPr>
      </w:pPr>
    </w:p>
    <w:p w:rsidR="00F9574C" w:rsidRDefault="00F9574C" w:rsidP="00E73B20">
      <w:pPr>
        <w:outlineLvl w:val="0"/>
        <w:rPr>
          <w:rFonts w:ascii="Calibri" w:hAnsi="Calibri" w:cs="Calibri"/>
          <w:b/>
          <w:color w:val="0477AE"/>
          <w:szCs w:val="24"/>
        </w:rPr>
      </w:pPr>
    </w:p>
    <w:p w:rsidR="00F9574C" w:rsidRDefault="00F9574C" w:rsidP="00E73B20">
      <w:pPr>
        <w:outlineLvl w:val="0"/>
        <w:rPr>
          <w:rFonts w:ascii="Calibri" w:hAnsi="Calibri" w:cs="Calibri"/>
          <w:b/>
          <w:color w:val="0477AE"/>
          <w:szCs w:val="24"/>
        </w:rPr>
      </w:pPr>
    </w:p>
    <w:p w:rsidR="001626DA" w:rsidRPr="00E73B20" w:rsidRDefault="00E73B20" w:rsidP="00E73B20">
      <w:pPr>
        <w:outlineLvl w:val="0"/>
        <w:rPr>
          <w:rFonts w:ascii="Calibri" w:hAnsi="Calibri" w:cs="Calibri"/>
          <w:b/>
          <w:color w:val="0477AE"/>
          <w:szCs w:val="24"/>
        </w:rPr>
      </w:pPr>
      <w:r w:rsidRPr="00E73B20">
        <w:rPr>
          <w:rFonts w:ascii="Calibri" w:hAnsi="Calibri" w:cs="Calibri"/>
          <w:b/>
          <w:color w:val="0477AE"/>
          <w:szCs w:val="24"/>
        </w:rPr>
        <w:lastRenderedPageBreak/>
        <w:t>ENDNOTES</w:t>
      </w:r>
    </w:p>
    <w:sectPr w:rsidR="001626DA" w:rsidRPr="00E73B20" w:rsidSect="004D767D">
      <w:headerReference w:type="default" r:id="rId22"/>
      <w:footerReference w:type="default" r:id="rId23"/>
      <w:footerReference w:type="first" r:id="rId24"/>
      <w:endnotePr>
        <w:numFmt w:val="decimal"/>
      </w:endnotePr>
      <w:pgSz w:w="12240" w:h="15840"/>
      <w:pgMar w:top="1440" w:right="1440" w:bottom="1152"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C91" w:rsidRDefault="00160C91">
      <w:r>
        <w:separator/>
      </w:r>
    </w:p>
  </w:endnote>
  <w:endnote w:type="continuationSeparator" w:id="0">
    <w:p w:rsidR="00160C91" w:rsidRDefault="00160C91">
      <w:r>
        <w:continuationSeparator/>
      </w:r>
    </w:p>
  </w:endnote>
  <w:endnote w:id="1">
    <w:p w:rsidR="001626DA" w:rsidRPr="005767DB" w:rsidRDefault="001626DA" w:rsidP="001626DA">
      <w:pPr>
        <w:pStyle w:val="EndnoteText"/>
        <w:contextualSpacing/>
        <w:rPr>
          <w:lang w:val="en-US"/>
        </w:rPr>
      </w:pPr>
      <w:r w:rsidRPr="00DD1D75">
        <w:rPr>
          <w:rStyle w:val="EndnoteReference"/>
        </w:rPr>
        <w:endnoteRef/>
      </w:r>
      <w:r w:rsidR="009527D3">
        <w:rPr>
          <w:lang w:val="en-US"/>
        </w:rPr>
        <w:t xml:space="preserve"> Citizens for Tax Justice (CTJ), “</w:t>
      </w:r>
      <w:r w:rsidR="00BA5647">
        <w:rPr>
          <w:lang w:val="en-US"/>
        </w:rPr>
        <w:t>T</w:t>
      </w:r>
      <w:r w:rsidR="009527D3">
        <w:rPr>
          <w:lang w:val="en-US"/>
        </w:rPr>
        <w:t>he Sorry State of Corporate Taxes” (Feb. 25, 2014), p. 5</w:t>
      </w:r>
      <w:r w:rsidR="005767DB">
        <w:rPr>
          <w:lang w:val="en-US"/>
        </w:rPr>
        <w:t>3</w:t>
      </w:r>
      <w:r w:rsidR="009527D3">
        <w:rPr>
          <w:lang w:val="en-US"/>
        </w:rPr>
        <w:t>.</w:t>
      </w:r>
      <w:r w:rsidRPr="00DD1D75">
        <w:t xml:space="preserve"> </w:t>
      </w:r>
      <w:hyperlink r:id="rId1" w:history="1">
        <w:r w:rsidR="009527D3" w:rsidRPr="00ED2923">
          <w:rPr>
            <w:rStyle w:val="Hyperlink"/>
          </w:rPr>
          <w:t>http://www.ctj.org/corporatetaxdodgers/sorrystateofcorptaxes.pdf</w:t>
        </w:r>
      </w:hyperlink>
    </w:p>
  </w:endnote>
  <w:endnote w:id="2">
    <w:p w:rsidR="001626DA" w:rsidRPr="00DD1D75" w:rsidRDefault="001626DA" w:rsidP="001626DA">
      <w:pPr>
        <w:pStyle w:val="Heading1"/>
        <w:ind w:left="0"/>
        <w:jc w:val="left"/>
        <w:rPr>
          <w:rFonts w:ascii="Calibri" w:hAnsi="Calibri"/>
          <w:sz w:val="20"/>
        </w:rPr>
      </w:pPr>
      <w:r w:rsidRPr="00DD1D75">
        <w:rPr>
          <w:rStyle w:val="EndnoteReference"/>
          <w:rFonts w:ascii="Calibri" w:hAnsi="Calibri"/>
          <w:b w:val="0"/>
          <w:sz w:val="20"/>
        </w:rPr>
        <w:endnoteRef/>
      </w:r>
      <w:r w:rsidRPr="00DD1D75">
        <w:rPr>
          <w:rFonts w:ascii="Calibri" w:hAnsi="Calibri"/>
          <w:b w:val="0"/>
          <w:sz w:val="20"/>
        </w:rPr>
        <w:t xml:space="preserve"> Congressional Budget Office (CBO), “</w:t>
      </w:r>
      <w:r w:rsidRPr="00DD1D75">
        <w:rPr>
          <w:rFonts w:ascii="Calibri" w:eastAsia="Calibri" w:hAnsi="Calibri"/>
          <w:b w:val="0"/>
          <w:sz w:val="20"/>
        </w:rPr>
        <w:t>Effects of Extending Tax Provisions Scheduled to Expire Before 2024</w:t>
      </w:r>
      <w:r w:rsidRPr="00DD1D75">
        <w:rPr>
          <w:rFonts w:ascii="Calibri" w:hAnsi="Calibri"/>
          <w:b w:val="0"/>
          <w:sz w:val="20"/>
        </w:rPr>
        <w:t xml:space="preserve">,” (Feb. 4, 2014), as modified by Americans for Tax Fairness. </w:t>
      </w:r>
      <w:hyperlink r:id="rId2" w:history="1">
        <w:r w:rsidR="00012525" w:rsidRPr="00012525">
          <w:rPr>
            <w:rStyle w:val="Hyperlink"/>
            <w:rFonts w:asciiTheme="minorHAnsi" w:hAnsiTheme="minorHAnsi"/>
            <w:b w:val="0"/>
            <w:sz w:val="20"/>
          </w:rPr>
          <w:t>http://bit.ly/1jbDLDM</w:t>
        </w:r>
      </w:hyperlink>
      <w:hyperlink r:id="rId3" w:tgtFrame="_blank" w:history="1"/>
      <w:r w:rsidRPr="00DD1D75">
        <w:rPr>
          <w:rFonts w:ascii="Calibri" w:hAnsi="Calibri"/>
          <w:b w:val="0"/>
          <w:sz w:val="20"/>
        </w:rPr>
        <w:t xml:space="preserve">  See line 2</w:t>
      </w:r>
      <w:r w:rsidR="00012525">
        <w:rPr>
          <w:rFonts w:ascii="Calibri" w:hAnsi="Calibri"/>
          <w:b w:val="0"/>
          <w:sz w:val="20"/>
        </w:rPr>
        <w:t>2</w:t>
      </w:r>
      <w:r w:rsidRPr="00DD1D75">
        <w:rPr>
          <w:rFonts w:ascii="Calibri" w:hAnsi="Calibri"/>
          <w:b w:val="0"/>
          <w:sz w:val="20"/>
        </w:rPr>
        <w:t xml:space="preserve">, Subpart F for Active Financing Income. Original CBO table is at </w:t>
      </w:r>
      <w:hyperlink r:id="rId4" w:tgtFrame="_blank" w:history="1">
        <w:r w:rsidRPr="00DD1D75">
          <w:rPr>
            <w:rStyle w:val="Hyperlink"/>
            <w:rFonts w:ascii="Calibri" w:hAnsi="Calibri"/>
            <w:b w:val="0"/>
            <w:sz w:val="20"/>
          </w:rPr>
          <w:t>http://www.cbo.gov/publication/45065</w:t>
        </w:r>
      </w:hyperlink>
      <w:r w:rsidRPr="00DD1D75">
        <w:rPr>
          <w:rFonts w:ascii="Calibri" w:hAnsi="Calibri"/>
          <w:b w:val="0"/>
          <w:color w:val="1F497D"/>
          <w:sz w:val="20"/>
        </w:rPr>
        <w:t xml:space="preserve">  (s</w:t>
      </w:r>
      <w:r w:rsidRPr="00DD1D75">
        <w:rPr>
          <w:rFonts w:ascii="Calibri" w:hAnsi="Calibri"/>
          <w:b w:val="0"/>
          <w:sz w:val="20"/>
        </w:rPr>
        <w:t>ee worksheet 7, line 71).</w:t>
      </w:r>
    </w:p>
  </w:endnote>
  <w:endnote w:id="3">
    <w:p w:rsidR="001626DA" w:rsidRPr="00DD1D75" w:rsidRDefault="001626DA" w:rsidP="001626DA">
      <w:pPr>
        <w:rPr>
          <w:rFonts w:ascii="Calibri" w:hAnsi="Calibri"/>
          <w:sz w:val="20"/>
        </w:rPr>
      </w:pPr>
      <w:r w:rsidRPr="00DD1D75">
        <w:rPr>
          <w:rStyle w:val="EndnoteReference"/>
          <w:rFonts w:ascii="Calibri" w:hAnsi="Calibri"/>
          <w:sz w:val="20"/>
        </w:rPr>
        <w:endnoteRef/>
      </w:r>
      <w:r w:rsidRPr="00DD1D75">
        <w:rPr>
          <w:rFonts w:ascii="Calibri" w:hAnsi="Calibri"/>
          <w:sz w:val="20"/>
        </w:rPr>
        <w:t xml:space="preserve"> CBO. The full ten-year cost is calculated from 201</w:t>
      </w:r>
      <w:r w:rsidR="00012525">
        <w:rPr>
          <w:rFonts w:ascii="Calibri" w:hAnsi="Calibri"/>
          <w:sz w:val="20"/>
        </w:rPr>
        <w:t>4</w:t>
      </w:r>
      <w:r w:rsidRPr="00DD1D75">
        <w:rPr>
          <w:rFonts w:ascii="Calibri" w:hAnsi="Calibri"/>
          <w:sz w:val="20"/>
        </w:rPr>
        <w:t xml:space="preserve"> through 202</w:t>
      </w:r>
      <w:r w:rsidR="00012525">
        <w:rPr>
          <w:rFonts w:ascii="Calibri" w:hAnsi="Calibri"/>
          <w:sz w:val="20"/>
        </w:rPr>
        <w:t>3</w:t>
      </w:r>
      <w:r w:rsidRPr="00DD1D75">
        <w:rPr>
          <w:rFonts w:ascii="Calibri" w:hAnsi="Calibri"/>
          <w:sz w:val="20"/>
        </w:rPr>
        <w:t xml:space="preserve">. </w:t>
      </w:r>
      <w:r w:rsidR="000F500B">
        <w:rPr>
          <w:rFonts w:ascii="Calibri" w:hAnsi="Calibri"/>
          <w:sz w:val="20"/>
        </w:rPr>
        <w:t>The $</w:t>
      </w:r>
      <w:r w:rsidR="00012525">
        <w:rPr>
          <w:rFonts w:ascii="Calibri" w:hAnsi="Calibri"/>
          <w:sz w:val="20"/>
        </w:rPr>
        <w:t>691</w:t>
      </w:r>
      <w:r w:rsidR="000F500B">
        <w:rPr>
          <w:rFonts w:ascii="Calibri" w:hAnsi="Calibri"/>
          <w:sz w:val="20"/>
        </w:rPr>
        <w:t xml:space="preserve"> billion figure </w:t>
      </w:r>
      <w:r w:rsidRPr="00DD1D75">
        <w:rPr>
          <w:rFonts w:ascii="Calibri" w:hAnsi="Calibri"/>
          <w:sz w:val="20"/>
        </w:rPr>
        <w:t>include</w:t>
      </w:r>
      <w:r w:rsidR="000F500B">
        <w:rPr>
          <w:rFonts w:ascii="Calibri" w:hAnsi="Calibri"/>
          <w:sz w:val="20"/>
        </w:rPr>
        <w:t>s</w:t>
      </w:r>
      <w:r w:rsidRPr="00DD1D75">
        <w:rPr>
          <w:rFonts w:ascii="Calibri" w:hAnsi="Calibri"/>
          <w:sz w:val="20"/>
        </w:rPr>
        <w:t xml:space="preserve"> the cost of bonus depreciation ($2</w:t>
      </w:r>
      <w:r w:rsidR="00012525">
        <w:rPr>
          <w:rFonts w:ascii="Calibri" w:hAnsi="Calibri"/>
          <w:sz w:val="20"/>
        </w:rPr>
        <w:t>81</w:t>
      </w:r>
      <w:r w:rsidRPr="00DD1D75">
        <w:rPr>
          <w:rFonts w:ascii="Calibri" w:hAnsi="Calibri"/>
          <w:sz w:val="20"/>
        </w:rPr>
        <w:t xml:space="preserve"> billion).</w:t>
      </w:r>
    </w:p>
  </w:endnote>
  <w:endnote w:id="4">
    <w:p w:rsidR="001626DA" w:rsidRPr="00DD1D75" w:rsidRDefault="001626DA" w:rsidP="001626DA">
      <w:pPr>
        <w:pStyle w:val="Heading1"/>
        <w:ind w:left="0"/>
        <w:contextualSpacing/>
        <w:jc w:val="left"/>
        <w:rPr>
          <w:rFonts w:ascii="Calibri" w:hAnsi="Calibri"/>
          <w:sz w:val="20"/>
        </w:rPr>
      </w:pPr>
      <w:r w:rsidRPr="00DD1D75">
        <w:rPr>
          <w:rStyle w:val="EndnoteReference"/>
          <w:rFonts w:ascii="Calibri" w:hAnsi="Calibri"/>
          <w:b w:val="0"/>
          <w:sz w:val="20"/>
        </w:rPr>
        <w:endnoteRef/>
      </w:r>
      <w:r w:rsidRPr="00DD1D75">
        <w:rPr>
          <w:rFonts w:ascii="Calibri" w:hAnsi="Calibri"/>
          <w:b w:val="0"/>
          <w:sz w:val="20"/>
        </w:rPr>
        <w:t xml:space="preserve"> Reuters, “Financial Risk Council Says AIG, GE Capital Are ‘Too Big To Fail’” (July 9, 2013). </w:t>
      </w:r>
      <w:hyperlink r:id="rId5" w:history="1">
        <w:r w:rsidRPr="00DD1D75">
          <w:rPr>
            <w:rStyle w:val="Hyperlink"/>
            <w:rFonts w:ascii="Calibri" w:hAnsi="Calibri"/>
            <w:b w:val="0"/>
            <w:sz w:val="20"/>
          </w:rPr>
          <w:t>http://www.huffingtonpost.com/2013/07/09/financial-risk-council-aig_n_3569517.html</w:t>
        </w:r>
      </w:hyperlink>
    </w:p>
  </w:endnote>
  <w:endnote w:id="5">
    <w:p w:rsidR="001626DA" w:rsidRPr="00DD1D75" w:rsidRDefault="001626DA" w:rsidP="001626DA">
      <w:pPr>
        <w:pStyle w:val="Heading1"/>
        <w:ind w:left="0"/>
        <w:contextualSpacing/>
        <w:jc w:val="left"/>
        <w:rPr>
          <w:rFonts w:ascii="Calibri" w:hAnsi="Calibri"/>
          <w:sz w:val="20"/>
        </w:rPr>
      </w:pPr>
      <w:r w:rsidRPr="00DD1D75">
        <w:rPr>
          <w:rStyle w:val="EndnoteReference"/>
          <w:rFonts w:ascii="Calibri" w:hAnsi="Calibri"/>
          <w:b w:val="0"/>
          <w:sz w:val="20"/>
        </w:rPr>
        <w:endnoteRef/>
      </w:r>
      <w:r w:rsidRPr="00DD1D75">
        <w:rPr>
          <w:rFonts w:ascii="Calibri" w:hAnsi="Calibri"/>
          <w:b w:val="0"/>
          <w:sz w:val="20"/>
        </w:rPr>
        <w:t xml:space="preserve"> Bloomberg, “GE Tumbles after Profit-Margin Forecast Trails Forecast” (Jan. 17, 2014). </w:t>
      </w:r>
      <w:hyperlink r:id="rId6" w:history="1">
        <w:r w:rsidRPr="00DD1D75">
          <w:rPr>
            <w:rStyle w:val="Hyperlink"/>
            <w:rFonts w:ascii="Calibri" w:hAnsi="Calibri"/>
            <w:b w:val="0"/>
            <w:sz w:val="20"/>
          </w:rPr>
          <w:t>http://www.bloomberg.com/news/2014-01-17/ge-profit-matches-forecasts-on-jet-engine-sales.html</w:t>
        </w:r>
      </w:hyperlink>
    </w:p>
  </w:endnote>
  <w:endnote w:id="6">
    <w:p w:rsidR="001626DA" w:rsidRPr="00DD1D75" w:rsidRDefault="001626DA" w:rsidP="001626DA">
      <w:pPr>
        <w:pStyle w:val="Heading1"/>
        <w:ind w:left="0"/>
        <w:contextualSpacing/>
        <w:jc w:val="left"/>
        <w:rPr>
          <w:rFonts w:ascii="Calibri" w:hAnsi="Calibri"/>
          <w:sz w:val="20"/>
        </w:rPr>
      </w:pPr>
      <w:r w:rsidRPr="00DD1D75">
        <w:rPr>
          <w:rStyle w:val="EndnoteReference"/>
          <w:rFonts w:ascii="Calibri" w:hAnsi="Calibri"/>
          <w:b w:val="0"/>
          <w:sz w:val="20"/>
        </w:rPr>
        <w:endnoteRef/>
      </w:r>
      <w:r w:rsidRPr="00DD1D75">
        <w:rPr>
          <w:rFonts w:ascii="Calibri" w:hAnsi="Calibri"/>
          <w:b w:val="0"/>
          <w:sz w:val="20"/>
        </w:rPr>
        <w:t xml:space="preserve"> Reuters, “U.S. companies’ overseas earnings hit record $1.9 trillion: study” (May 8, 2013). </w:t>
      </w:r>
      <w:hyperlink r:id="rId7" w:history="1">
        <w:r w:rsidRPr="00DD1D75">
          <w:rPr>
            <w:rStyle w:val="Hyperlink"/>
            <w:rFonts w:ascii="Calibri" w:hAnsi="Calibri"/>
            <w:b w:val="0"/>
            <w:sz w:val="20"/>
          </w:rPr>
          <w:t>http://www.reuters.com/article/2013/05/08/us-usa-taxes-oveseas-idUSBRE9470Z920130508</w:t>
        </w:r>
      </w:hyperlink>
    </w:p>
  </w:endnote>
  <w:endnote w:id="7">
    <w:p w:rsidR="001626DA" w:rsidRPr="00DD1D75" w:rsidRDefault="001626DA" w:rsidP="001626DA">
      <w:pPr>
        <w:pStyle w:val="Default"/>
        <w:rPr>
          <w:sz w:val="20"/>
          <w:szCs w:val="20"/>
        </w:rPr>
      </w:pPr>
      <w:r w:rsidRPr="00DD1D75">
        <w:rPr>
          <w:rStyle w:val="EndnoteReference"/>
          <w:rFonts w:cs="Frutiger 57Cn"/>
          <w:sz w:val="20"/>
          <w:szCs w:val="20"/>
        </w:rPr>
        <w:endnoteRef/>
      </w:r>
      <w:r w:rsidRPr="00DD1D75">
        <w:rPr>
          <w:sz w:val="20"/>
          <w:szCs w:val="20"/>
        </w:rPr>
        <w:t xml:space="preserve"> U.S. Public Interest Research Group, “</w:t>
      </w:r>
      <w:r w:rsidRPr="00DD1D75">
        <w:rPr>
          <w:rFonts w:cs="Times New Roman"/>
          <w:bCs/>
          <w:sz w:val="20"/>
          <w:szCs w:val="20"/>
        </w:rPr>
        <w:t xml:space="preserve">Offshore Shell Games: </w:t>
      </w:r>
      <w:r w:rsidRPr="00DD1D75">
        <w:rPr>
          <w:rFonts w:cs="Times New Roman"/>
          <w:color w:val="auto"/>
          <w:sz w:val="20"/>
          <w:szCs w:val="20"/>
        </w:rPr>
        <w:t xml:space="preserve">The Use of Offshore Tax Havens by the Top 100 Publicly Traded Companies” (July 31, 2013), p. 8. </w:t>
      </w:r>
      <w:hyperlink r:id="rId8" w:history="1">
        <w:r w:rsidRPr="00DD1D75">
          <w:rPr>
            <w:rStyle w:val="Hyperlink"/>
            <w:sz w:val="20"/>
            <w:szCs w:val="20"/>
          </w:rPr>
          <w:t>http://uspirg.org/sites/pirg/files/reports/Offshore_Shell_Games_USPIRG.pdf</w:t>
        </w:r>
      </w:hyperlink>
    </w:p>
  </w:endnote>
  <w:endnote w:id="8">
    <w:p w:rsidR="001626DA" w:rsidRPr="00DD1D75" w:rsidRDefault="001626DA" w:rsidP="001626DA">
      <w:pPr>
        <w:pStyle w:val="Heading1"/>
        <w:ind w:left="0"/>
        <w:contextualSpacing/>
        <w:jc w:val="left"/>
        <w:rPr>
          <w:rFonts w:ascii="Calibri" w:hAnsi="Calibri"/>
          <w:sz w:val="20"/>
        </w:rPr>
      </w:pPr>
      <w:r w:rsidRPr="00DD1D75">
        <w:rPr>
          <w:rStyle w:val="EndnoteReference"/>
          <w:rFonts w:ascii="Calibri" w:hAnsi="Calibri"/>
          <w:b w:val="0"/>
          <w:sz w:val="20"/>
        </w:rPr>
        <w:endnoteRef/>
      </w:r>
      <w:r w:rsidRPr="00DD1D75">
        <w:rPr>
          <w:rFonts w:ascii="Calibri" w:hAnsi="Calibri"/>
          <w:b w:val="0"/>
          <w:sz w:val="20"/>
        </w:rPr>
        <w:t xml:space="preserve"> CTJ, “Don't Renew the Offshore Tax Loopholes” (Aug. 2, 2012). </w:t>
      </w:r>
      <w:hyperlink r:id="rId9" w:anchor=".UupMvIVOQ7A" w:history="1">
        <w:r w:rsidRPr="00DD1D75">
          <w:rPr>
            <w:rStyle w:val="Hyperlink"/>
            <w:rFonts w:ascii="Calibri" w:hAnsi="Calibri"/>
            <w:b w:val="0"/>
            <w:sz w:val="20"/>
          </w:rPr>
          <w:t>http://ctj.org/ctjreports/2012/08/dont_renew_the_offshore_tax_loopholes.php#.UupMvIVOQ7A</w:t>
        </w:r>
      </w:hyperlink>
    </w:p>
  </w:endnote>
  <w:endnote w:id="9">
    <w:p w:rsidR="001626DA" w:rsidRPr="00DD1D75" w:rsidRDefault="001626DA" w:rsidP="00162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sz w:val="20"/>
        </w:rPr>
      </w:pPr>
      <w:r w:rsidRPr="00DD1D75">
        <w:rPr>
          <w:rStyle w:val="EndnoteReference"/>
          <w:rFonts w:ascii="Calibri" w:hAnsi="Calibri"/>
          <w:sz w:val="20"/>
        </w:rPr>
        <w:endnoteRef/>
      </w:r>
      <w:r w:rsidRPr="00DD1D75">
        <w:rPr>
          <w:rFonts w:ascii="Calibri" w:hAnsi="Calibri"/>
          <w:sz w:val="20"/>
        </w:rPr>
        <w:t xml:space="preserve"> CTJ, “</w:t>
      </w:r>
      <w:r w:rsidRPr="00DD1D75">
        <w:rPr>
          <w:rFonts w:ascii="Calibri" w:hAnsi="Calibri" w:cs="Helvetica"/>
          <w:sz w:val="20"/>
        </w:rPr>
        <w:t xml:space="preserve">Congress Should Offset the Cost of the ‘Tax Extenders,’ or Not Enact Them At All” (Dec. 12, 2013), pp. 4-5. </w:t>
      </w:r>
      <w:hyperlink r:id="rId10" w:history="1">
        <w:r w:rsidRPr="00DD1D75">
          <w:rPr>
            <w:rStyle w:val="Hyperlink"/>
            <w:rFonts w:ascii="Calibri" w:hAnsi="Calibri"/>
            <w:sz w:val="20"/>
          </w:rPr>
          <w:t>http://www.ctj.org/pdf/extenders_december_2013.pdf</w:t>
        </w:r>
      </w:hyperlink>
    </w:p>
  </w:endnote>
  <w:endnote w:id="10">
    <w:p w:rsidR="001626DA" w:rsidRPr="00DD1D75" w:rsidRDefault="001626DA" w:rsidP="001626DA">
      <w:pPr>
        <w:pStyle w:val="Heading1"/>
        <w:ind w:left="0"/>
        <w:contextualSpacing/>
        <w:jc w:val="left"/>
        <w:rPr>
          <w:rFonts w:ascii="Calibri" w:hAnsi="Calibri"/>
          <w:sz w:val="20"/>
        </w:rPr>
      </w:pPr>
      <w:r w:rsidRPr="00DD1D75">
        <w:rPr>
          <w:rStyle w:val="EndnoteReference"/>
          <w:rFonts w:ascii="Calibri" w:hAnsi="Calibri"/>
          <w:b w:val="0"/>
          <w:sz w:val="20"/>
        </w:rPr>
        <w:endnoteRef/>
      </w:r>
      <w:r w:rsidRPr="00DD1D75">
        <w:rPr>
          <w:rFonts w:ascii="Calibri" w:hAnsi="Calibri"/>
          <w:b w:val="0"/>
          <w:sz w:val="20"/>
        </w:rPr>
        <w:t xml:space="preserve"> CTJ, “</w:t>
      </w:r>
      <w:r w:rsidR="00FD0208">
        <w:rPr>
          <w:rFonts w:ascii="Calibri" w:hAnsi="Calibri"/>
          <w:b w:val="0"/>
          <w:sz w:val="20"/>
        </w:rPr>
        <w:t>The Sorry State of Corporate Taxes.”</w:t>
      </w:r>
      <w:r w:rsidR="00FD0208" w:rsidRPr="00DD1D75">
        <w:rPr>
          <w:rFonts w:ascii="Calibri" w:hAnsi="Calibri"/>
          <w:sz w:val="20"/>
        </w:rPr>
        <w:t xml:space="preserve"> </w:t>
      </w:r>
    </w:p>
  </w:endnote>
  <w:endnote w:id="11">
    <w:p w:rsidR="001626DA" w:rsidRPr="00DD1D75" w:rsidRDefault="001626DA" w:rsidP="001626DA">
      <w:pPr>
        <w:pStyle w:val="Heading1"/>
        <w:ind w:left="0"/>
        <w:contextualSpacing/>
        <w:jc w:val="left"/>
        <w:rPr>
          <w:rFonts w:ascii="Calibri" w:hAnsi="Calibri"/>
          <w:sz w:val="20"/>
        </w:rPr>
      </w:pPr>
      <w:r w:rsidRPr="00DD1D75">
        <w:rPr>
          <w:rStyle w:val="EndnoteReference"/>
          <w:rFonts w:ascii="Calibri" w:hAnsi="Calibri"/>
          <w:b w:val="0"/>
          <w:sz w:val="20"/>
        </w:rPr>
        <w:endnoteRef/>
      </w:r>
      <w:r w:rsidRPr="00DD1D75">
        <w:rPr>
          <w:rFonts w:ascii="Calibri" w:hAnsi="Calibri"/>
          <w:b w:val="0"/>
          <w:i/>
          <w:sz w:val="20"/>
        </w:rPr>
        <w:t xml:space="preserve"> </w:t>
      </w:r>
      <w:r w:rsidRPr="00DD1D75">
        <w:rPr>
          <w:rFonts w:ascii="Calibri" w:hAnsi="Calibri"/>
          <w:b w:val="0"/>
          <w:sz w:val="20"/>
        </w:rPr>
        <w:t xml:space="preserve">David Kocieniewski, </w:t>
      </w:r>
      <w:r w:rsidRPr="00DD1D75">
        <w:rPr>
          <w:rFonts w:ascii="Calibri" w:hAnsi="Calibri"/>
          <w:b w:val="0"/>
          <w:i/>
          <w:sz w:val="20"/>
        </w:rPr>
        <w:t>The New York Times</w:t>
      </w:r>
      <w:r w:rsidRPr="00DD1D75">
        <w:rPr>
          <w:rFonts w:ascii="Calibri" w:hAnsi="Calibri"/>
          <w:b w:val="0"/>
          <w:sz w:val="20"/>
        </w:rPr>
        <w:t>, “G.E.’s Strategies Let It Avoid Taxes Altogether” (March 24, 2011).</w:t>
      </w:r>
      <w:r w:rsidRPr="00DD1D75">
        <w:rPr>
          <w:rFonts w:ascii="Calibri" w:hAnsi="Calibri"/>
          <w:sz w:val="20"/>
        </w:rPr>
        <w:t xml:space="preserve"> </w:t>
      </w:r>
      <w:hyperlink r:id="rId11" w:history="1">
        <w:r w:rsidRPr="00DD1D75">
          <w:rPr>
            <w:rStyle w:val="Hyperlink"/>
            <w:rFonts w:ascii="Calibri" w:hAnsi="Calibri"/>
            <w:b w:val="0"/>
            <w:sz w:val="20"/>
          </w:rPr>
          <w:t>http://www.nytimes.com/2011/03/25/business/economy/25tax.html?pagewanted=all&amp;_r=1&amp;</w:t>
        </w:r>
      </w:hyperlink>
    </w:p>
  </w:endnote>
  <w:endnote w:id="12">
    <w:p w:rsidR="001626DA" w:rsidRPr="00DD1D75" w:rsidRDefault="001626DA" w:rsidP="001626DA">
      <w:pPr>
        <w:pStyle w:val="EndnoteText"/>
        <w:rPr>
          <w:bCs/>
          <w:kern w:val="36"/>
        </w:rPr>
      </w:pPr>
      <w:r w:rsidRPr="00DD1D75">
        <w:rPr>
          <w:rStyle w:val="EndnoteReference"/>
        </w:rPr>
        <w:endnoteRef/>
      </w:r>
      <w:r w:rsidRPr="00DD1D75">
        <w:t xml:space="preserve"> C-Span TV (Jan. 29, 2014). </w:t>
      </w:r>
      <w:hyperlink r:id="rId12" w:tgtFrame="_blank" w:history="1">
        <w:r w:rsidRPr="00DD1D75">
          <w:rPr>
            <w:rStyle w:val="Hyperlink"/>
          </w:rPr>
          <w:t>http://www.c-spanvideo.org/clip/4483259</w:t>
        </w:r>
      </w:hyperlink>
      <w:r w:rsidRPr="00DD1D75">
        <w:t xml:space="preserve">  </w:t>
      </w:r>
      <w:r w:rsidRPr="00DD1D75">
        <w:rPr>
          <w:bCs/>
          <w:kern w:val="36"/>
        </w:rPr>
        <w:t>A transcript of this quote is available at Tax Analysts, “Pay-For Debate Does Not Apply to Renewing Tax Extenders, McConnell Says”</w:t>
      </w:r>
      <w:r w:rsidRPr="00DD1D75" w:rsidDel="00D365F2">
        <w:rPr>
          <w:bCs/>
          <w:kern w:val="36"/>
        </w:rPr>
        <w:t xml:space="preserve"> </w:t>
      </w:r>
      <w:r w:rsidRPr="00DD1D75">
        <w:rPr>
          <w:bCs/>
          <w:kern w:val="36"/>
        </w:rPr>
        <w:t xml:space="preserve">(Jan. 29, 2014) subscription required. Sen. McConnell is quoted as saying: “Typically, Republicans have felt that you shouldn't have to pay for current tax policy,” McConnell said. “I think occasionally these packages have been paid for, but most Republicans believe that the existing tax policy should not be paid for.” </w:t>
      </w:r>
    </w:p>
  </w:endnote>
  <w:endnote w:id="13">
    <w:p w:rsidR="001626DA" w:rsidRPr="00DD1D75" w:rsidRDefault="001626DA" w:rsidP="001626DA">
      <w:pPr>
        <w:pStyle w:val="Heading1"/>
        <w:ind w:left="0"/>
        <w:jc w:val="left"/>
        <w:rPr>
          <w:rFonts w:ascii="Calibri" w:hAnsi="Calibri"/>
          <w:b w:val="0"/>
          <w:sz w:val="20"/>
        </w:rPr>
      </w:pPr>
      <w:r w:rsidRPr="00DD1D75">
        <w:rPr>
          <w:rStyle w:val="EndnoteReference"/>
          <w:rFonts w:ascii="Calibri" w:hAnsi="Calibri"/>
          <w:b w:val="0"/>
          <w:sz w:val="20"/>
        </w:rPr>
        <w:endnoteRef/>
      </w:r>
      <w:r w:rsidRPr="00DD1D75">
        <w:rPr>
          <w:rFonts w:ascii="Calibri" w:hAnsi="Calibri"/>
          <w:b w:val="0"/>
          <w:sz w:val="20"/>
        </w:rPr>
        <w:t xml:space="preserve"> </w:t>
      </w:r>
      <w:hyperlink r:id="rId13" w:history="1">
        <w:r w:rsidRPr="00DD1D75">
          <w:rPr>
            <w:rFonts w:ascii="Calibri" w:hAnsi="Calibri"/>
            <w:b w:val="0"/>
            <w:sz w:val="20"/>
          </w:rPr>
          <w:t>Sen. Mitch McConnell, Press Release</w:t>
        </w:r>
        <w:hyperlink r:id="rId14" w:history="1">
          <w:r w:rsidRPr="00DD1D75">
            <w:rPr>
              <w:rFonts w:ascii="Calibri" w:hAnsi="Calibri"/>
              <w:b w:val="0"/>
              <w:sz w:val="20"/>
            </w:rPr>
            <w:t>: “There’s a Bipartisan Path Forward on Unemployment Insurance Extension</w:t>
          </w:r>
        </w:hyperlink>
        <w:r w:rsidRPr="00DD1D75">
          <w:rPr>
            <w:rFonts w:ascii="Calibri" w:hAnsi="Calibri"/>
            <w:b w:val="0"/>
            <w:sz w:val="20"/>
          </w:rPr>
          <w:t>” (Jan. 8, 2014</w:t>
        </w:r>
      </w:hyperlink>
      <w:r w:rsidRPr="00DD1D75">
        <w:rPr>
          <w:rFonts w:ascii="Calibri" w:hAnsi="Calibri"/>
          <w:b w:val="0"/>
          <w:sz w:val="20"/>
        </w:rPr>
        <w:t>).</w:t>
      </w:r>
      <w:r w:rsidRPr="00DD1D75">
        <w:rPr>
          <w:rStyle w:val="Hyperlink"/>
          <w:rFonts w:ascii="Calibri" w:hAnsi="Calibri"/>
          <w:b w:val="0"/>
          <w:sz w:val="20"/>
          <w:shd w:val="clear" w:color="auto" w:fill="FFFFFF"/>
        </w:rPr>
        <w:t xml:space="preserve"> </w:t>
      </w:r>
      <w:hyperlink r:id="rId15" w:history="1">
        <w:r w:rsidRPr="00DD1D75">
          <w:rPr>
            <w:rStyle w:val="Hyperlink"/>
            <w:rFonts w:ascii="Calibri" w:hAnsi="Calibri"/>
            <w:b w:val="0"/>
            <w:sz w:val="20"/>
          </w:rPr>
          <w:t>http://www.mcconnell.senate.gov/public/index.cfm?p=PressReleases&amp;ContentRecord_id=c4f00199-4c07-4839-9ae0-cd360d0e4033&amp;ContentType_id=c19bc7a5-2bb9-4a73-b2ab-3c1b5191a72b&amp;Group_id=0fd6ddca-6a05-4b26-8710-a0b7b59a8f1f&amp;MonthDisplay=1&amp;YearDisplay=2014</w:t>
        </w:r>
      </w:hyperlink>
    </w:p>
    <w:p w:rsidR="001626DA" w:rsidRDefault="001626DA" w:rsidP="001626DA">
      <w:pPr>
        <w:pStyle w:val="Heading1"/>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Frutiger 57Cn">
    <w:altName w:val="Frutiger 57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1E4" w:rsidRDefault="00E66FDC" w:rsidP="008E1AFD">
    <w:pPr>
      <w:pStyle w:val="BasicParagraph"/>
      <w:jc w:val="center"/>
      <w:rPr>
        <w:color w:val="000080"/>
      </w:rPr>
    </w:pPr>
    <w:r>
      <w:rPr>
        <w:noProof/>
      </w:rPr>
      <mc:AlternateContent>
        <mc:Choice Requires="wps">
          <w:drawing>
            <wp:anchor distT="0" distB="0" distL="114300" distR="114300" simplePos="0" relativeHeight="251657728" behindDoc="0" locked="1" layoutInCell="1" allowOverlap="0">
              <wp:simplePos x="0" y="0"/>
              <wp:positionH relativeFrom="column">
                <wp:posOffset>-927100</wp:posOffset>
              </wp:positionH>
              <wp:positionV relativeFrom="page">
                <wp:posOffset>9283700</wp:posOffset>
              </wp:positionV>
              <wp:extent cx="7772400" cy="901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901700"/>
                      </a:xfrm>
                      <a:prstGeom prst="rect">
                        <a:avLst/>
                      </a:prstGeom>
                      <a:no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507920" w:rsidRPr="00977374" w:rsidRDefault="00507920" w:rsidP="00507920">
                          <w:pPr>
                            <w:spacing w:line="240" w:lineRule="exact"/>
                            <w:jc w:val="center"/>
                            <w:rPr>
                              <w:rFonts w:ascii="Arial" w:hAnsi="Arial" w:cs="Arial"/>
                              <w:sz w:val="22"/>
                              <w:szCs w:val="22"/>
                            </w:rPr>
                          </w:pPr>
                          <w:r w:rsidRPr="00977374">
                            <w:rPr>
                              <w:rFonts w:ascii="Arial" w:hAnsi="Arial" w:cs="Arial"/>
                              <w:sz w:val="22"/>
                              <w:szCs w:val="22"/>
                            </w:rPr>
                            <w:t>1</w:t>
                          </w:r>
                          <w:r w:rsidR="00822D38">
                            <w:rPr>
                              <w:rFonts w:ascii="Arial" w:hAnsi="Arial" w:cs="Arial"/>
                              <w:sz w:val="22"/>
                              <w:szCs w:val="22"/>
                            </w:rPr>
                            <w:t>726 M</w:t>
                          </w:r>
                          <w:r w:rsidRPr="00977374">
                            <w:rPr>
                              <w:rFonts w:ascii="Arial" w:hAnsi="Arial" w:cs="Arial"/>
                              <w:sz w:val="22"/>
                              <w:szCs w:val="22"/>
                            </w:rPr>
                            <w:t xml:space="preserve"> Street NW </w:t>
                          </w:r>
                          <w:r w:rsidRPr="00977374">
                            <w:rPr>
                              <w:rFonts w:ascii="Arial" w:hAnsi="Arial" w:cs="Arial"/>
                              <w:color w:val="FF0000"/>
                              <w:sz w:val="22"/>
                              <w:szCs w:val="22"/>
                            </w:rPr>
                            <w:t>•</w:t>
                          </w:r>
                          <w:r w:rsidRPr="00977374">
                            <w:rPr>
                              <w:rFonts w:ascii="Arial" w:hAnsi="Arial" w:cs="Arial"/>
                              <w:sz w:val="22"/>
                              <w:szCs w:val="22"/>
                            </w:rPr>
                            <w:t xml:space="preserve"> Suite </w:t>
                          </w:r>
                          <w:r w:rsidR="00822D38">
                            <w:rPr>
                              <w:rFonts w:ascii="Arial" w:hAnsi="Arial" w:cs="Arial"/>
                              <w:sz w:val="22"/>
                              <w:szCs w:val="22"/>
                            </w:rPr>
                            <w:t>1</w:t>
                          </w:r>
                          <w:r w:rsidRPr="00977374">
                            <w:rPr>
                              <w:rFonts w:ascii="Arial" w:hAnsi="Arial" w:cs="Arial"/>
                              <w:sz w:val="22"/>
                              <w:szCs w:val="22"/>
                            </w:rPr>
                            <w:t>1</w:t>
                          </w:r>
                          <w:r w:rsidR="00822D38">
                            <w:rPr>
                              <w:rFonts w:ascii="Arial" w:hAnsi="Arial" w:cs="Arial"/>
                              <w:sz w:val="22"/>
                              <w:szCs w:val="22"/>
                            </w:rPr>
                            <w:t>0</w:t>
                          </w:r>
                          <w:r w:rsidRPr="00977374">
                            <w:rPr>
                              <w:rFonts w:ascii="Arial" w:hAnsi="Arial" w:cs="Arial"/>
                              <w:sz w:val="22"/>
                              <w:szCs w:val="22"/>
                            </w:rPr>
                            <w:t xml:space="preserve">0 </w:t>
                          </w:r>
                          <w:r w:rsidRPr="00977374">
                            <w:rPr>
                              <w:rFonts w:ascii="Arial" w:hAnsi="Arial" w:cs="Arial"/>
                              <w:color w:val="FF0000"/>
                              <w:sz w:val="22"/>
                              <w:szCs w:val="22"/>
                            </w:rPr>
                            <w:t>•</w:t>
                          </w:r>
                          <w:r w:rsidRPr="00977374">
                            <w:rPr>
                              <w:rFonts w:ascii="Arial" w:hAnsi="Arial" w:cs="Arial"/>
                              <w:sz w:val="22"/>
                              <w:szCs w:val="22"/>
                            </w:rPr>
                            <w:t xml:space="preserve"> Washington, D.C. 20036 </w:t>
                          </w:r>
                          <w:r w:rsidRPr="00977374">
                            <w:rPr>
                              <w:rFonts w:ascii="Arial" w:hAnsi="Arial" w:cs="Arial"/>
                              <w:color w:val="FF0000"/>
                              <w:sz w:val="22"/>
                              <w:szCs w:val="22"/>
                            </w:rPr>
                            <w:t>•</w:t>
                          </w:r>
                          <w:r w:rsidRPr="00977374">
                            <w:rPr>
                              <w:rFonts w:ascii="Arial" w:hAnsi="Arial" w:cs="Arial"/>
                              <w:sz w:val="22"/>
                              <w:szCs w:val="22"/>
                            </w:rPr>
                            <w:t xml:space="preserve"> 202-</w:t>
                          </w:r>
                          <w:r w:rsidR="00822D38">
                            <w:rPr>
                              <w:rFonts w:ascii="Arial" w:hAnsi="Arial" w:cs="Arial"/>
                              <w:sz w:val="22"/>
                              <w:szCs w:val="22"/>
                            </w:rPr>
                            <w:t>350</w:t>
                          </w:r>
                          <w:r>
                            <w:rPr>
                              <w:rFonts w:ascii="Arial" w:hAnsi="Arial" w:cs="Arial"/>
                              <w:sz w:val="22"/>
                              <w:szCs w:val="22"/>
                            </w:rPr>
                            <w:t>-</w:t>
                          </w:r>
                          <w:r w:rsidR="00822D38">
                            <w:rPr>
                              <w:rFonts w:ascii="Arial" w:hAnsi="Arial" w:cs="Arial"/>
                              <w:sz w:val="22"/>
                              <w:szCs w:val="22"/>
                            </w:rPr>
                            <w:t>0144</w:t>
                          </w:r>
                        </w:p>
                        <w:p w:rsidR="00507920" w:rsidRDefault="00160C91" w:rsidP="00507920">
                          <w:pPr>
                            <w:pStyle w:val="BasicParagraph"/>
                            <w:spacing w:line="240" w:lineRule="auto"/>
                            <w:jc w:val="center"/>
                            <w:rPr>
                              <w:rFonts w:ascii="Arial" w:hAnsi="Arial" w:cs="Arial"/>
                              <w:color w:val="auto"/>
                              <w:spacing w:val="-5"/>
                              <w:sz w:val="22"/>
                              <w:szCs w:val="22"/>
                            </w:rPr>
                          </w:pPr>
                          <w:hyperlink r:id="rId1" w:history="1">
                            <w:r w:rsidR="00507920" w:rsidRPr="009D4E21">
                              <w:rPr>
                                <w:rStyle w:val="Hyperlink"/>
                                <w:rFonts w:ascii="Arial" w:hAnsi="Arial" w:cs="Arial"/>
                                <w:sz w:val="22"/>
                                <w:szCs w:val="22"/>
                                <w:u w:color="003FA0"/>
                              </w:rPr>
                              <w:t>www.AmericansForTaxFairness.org</w:t>
                            </w:r>
                          </w:hyperlink>
                          <w:r w:rsidR="00507920">
                            <w:rPr>
                              <w:rFonts w:ascii="Arial" w:hAnsi="Arial" w:cs="Arial"/>
                              <w:color w:val="auto"/>
                              <w:sz w:val="22"/>
                              <w:szCs w:val="22"/>
                              <w:u w:color="003FA0"/>
                            </w:rPr>
                            <w:t xml:space="preserve"> </w:t>
                          </w:r>
                          <w:r w:rsidR="00507920" w:rsidRPr="00977374">
                            <w:rPr>
                              <w:rFonts w:ascii="Arial" w:hAnsi="Arial" w:cs="Arial"/>
                              <w:color w:val="FF0000"/>
                              <w:sz w:val="22"/>
                              <w:szCs w:val="22"/>
                            </w:rPr>
                            <w:t>•</w:t>
                          </w:r>
                          <w:r w:rsidR="00507920" w:rsidRPr="00977374">
                            <w:rPr>
                              <w:rFonts w:ascii="Arial" w:hAnsi="Arial" w:cs="Arial"/>
                              <w:color w:val="auto"/>
                              <w:sz w:val="22"/>
                              <w:szCs w:val="22"/>
                            </w:rPr>
                            <w:t xml:space="preserve"> </w:t>
                          </w:r>
                          <w:r w:rsidR="00507920" w:rsidRPr="00977374">
                            <w:rPr>
                              <w:rFonts w:ascii="Arial" w:hAnsi="Arial" w:cs="Arial"/>
                              <w:color w:val="auto"/>
                              <w:spacing w:val="-4"/>
                              <w:sz w:val="22"/>
                              <w:szCs w:val="22"/>
                            </w:rPr>
                            <w:t>@4TaxFairness</w:t>
                          </w:r>
                          <w:r w:rsidR="00507920" w:rsidRPr="00977374">
                            <w:rPr>
                              <w:rFonts w:ascii="Arial" w:hAnsi="Arial" w:cs="Arial"/>
                              <w:color w:val="auto"/>
                              <w:sz w:val="22"/>
                              <w:szCs w:val="22"/>
                            </w:rPr>
                            <w:t xml:space="preserve"> </w:t>
                          </w:r>
                          <w:r w:rsidR="00507920" w:rsidRPr="00977374">
                            <w:rPr>
                              <w:rFonts w:ascii="Arial" w:hAnsi="Arial" w:cs="Arial"/>
                              <w:color w:val="FF0000"/>
                              <w:sz w:val="22"/>
                              <w:szCs w:val="22"/>
                            </w:rPr>
                            <w:t>•</w:t>
                          </w:r>
                          <w:r w:rsidR="00507920" w:rsidRPr="00977374">
                            <w:rPr>
                              <w:rFonts w:ascii="Arial" w:hAnsi="Arial" w:cs="Arial"/>
                              <w:color w:val="auto"/>
                              <w:sz w:val="22"/>
                              <w:szCs w:val="22"/>
                            </w:rPr>
                            <w:t xml:space="preserve"> </w:t>
                          </w:r>
                          <w:hyperlink r:id="rId2" w:history="1">
                            <w:r w:rsidR="00507920" w:rsidRPr="009D4E21">
                              <w:rPr>
                                <w:rStyle w:val="Hyperlink"/>
                                <w:rFonts w:ascii="Arial" w:hAnsi="Arial" w:cs="Arial"/>
                                <w:spacing w:val="-5"/>
                                <w:sz w:val="22"/>
                                <w:szCs w:val="22"/>
                              </w:rPr>
                              <w:t>www.Facebook.com/Americans4TaxFairness</w:t>
                            </w:r>
                          </w:hyperlink>
                        </w:p>
                        <w:p w:rsidR="00507920" w:rsidRPr="00977374" w:rsidRDefault="00507920" w:rsidP="00507920">
                          <w:pPr>
                            <w:pStyle w:val="BasicParagraph"/>
                            <w:spacing w:line="240" w:lineRule="auto"/>
                            <w:jc w:val="center"/>
                            <w:rPr>
                              <w:rFonts w:ascii="Arial" w:hAnsi="Arial" w:cs="Arial"/>
                              <w:color w:val="auto"/>
                              <w:spacing w:val="-5"/>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3pt;margin-top:731pt;width:612pt;height: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" o:allowoverlap="f" filled="f" stroked="f">
              <v:path arrowok="t"/>
              <v:textbox>
                <w:txbxContent>
                  <w:p w:rsidR="00507920" w:rsidRPr="00977374" w:rsidRDefault="00507920" w:rsidP="00507920">
                    <w:pPr>
                      <w:spacing w:line="240" w:lineRule="exact"/>
                      <w:jc w:val="center"/>
                      <w:rPr>
                        <w:rFonts w:ascii="Arial" w:hAnsi="Arial" w:cs="Arial"/>
                        <w:sz w:val="22"/>
                        <w:szCs w:val="22"/>
                      </w:rPr>
                    </w:pPr>
                    <w:r w:rsidRPr="00977374">
                      <w:rPr>
                        <w:rFonts w:ascii="Arial" w:hAnsi="Arial" w:cs="Arial"/>
                        <w:sz w:val="22"/>
                        <w:szCs w:val="22"/>
                      </w:rPr>
                      <w:t>1</w:t>
                    </w:r>
                    <w:r w:rsidR="00822D38">
                      <w:rPr>
                        <w:rFonts w:ascii="Arial" w:hAnsi="Arial" w:cs="Arial"/>
                        <w:sz w:val="22"/>
                        <w:szCs w:val="22"/>
                      </w:rPr>
                      <w:t>726 M</w:t>
                    </w:r>
                    <w:r w:rsidRPr="00977374">
                      <w:rPr>
                        <w:rFonts w:ascii="Arial" w:hAnsi="Arial" w:cs="Arial"/>
                        <w:sz w:val="22"/>
                        <w:szCs w:val="22"/>
                      </w:rPr>
                      <w:t xml:space="preserve"> Street NW </w:t>
                    </w:r>
                    <w:r w:rsidRPr="00977374">
                      <w:rPr>
                        <w:rFonts w:ascii="Arial" w:hAnsi="Arial" w:cs="Arial"/>
                        <w:color w:val="FF0000"/>
                        <w:sz w:val="22"/>
                        <w:szCs w:val="22"/>
                      </w:rPr>
                      <w:t>•</w:t>
                    </w:r>
                    <w:r w:rsidRPr="00977374">
                      <w:rPr>
                        <w:rFonts w:ascii="Arial" w:hAnsi="Arial" w:cs="Arial"/>
                        <w:sz w:val="22"/>
                        <w:szCs w:val="22"/>
                      </w:rPr>
                      <w:t xml:space="preserve"> Suite </w:t>
                    </w:r>
                    <w:r w:rsidR="00822D38">
                      <w:rPr>
                        <w:rFonts w:ascii="Arial" w:hAnsi="Arial" w:cs="Arial"/>
                        <w:sz w:val="22"/>
                        <w:szCs w:val="22"/>
                      </w:rPr>
                      <w:t>1</w:t>
                    </w:r>
                    <w:r w:rsidRPr="00977374">
                      <w:rPr>
                        <w:rFonts w:ascii="Arial" w:hAnsi="Arial" w:cs="Arial"/>
                        <w:sz w:val="22"/>
                        <w:szCs w:val="22"/>
                      </w:rPr>
                      <w:t>1</w:t>
                    </w:r>
                    <w:r w:rsidR="00822D38">
                      <w:rPr>
                        <w:rFonts w:ascii="Arial" w:hAnsi="Arial" w:cs="Arial"/>
                        <w:sz w:val="22"/>
                        <w:szCs w:val="22"/>
                      </w:rPr>
                      <w:t>0</w:t>
                    </w:r>
                    <w:r w:rsidRPr="00977374">
                      <w:rPr>
                        <w:rFonts w:ascii="Arial" w:hAnsi="Arial" w:cs="Arial"/>
                        <w:sz w:val="22"/>
                        <w:szCs w:val="22"/>
                      </w:rPr>
                      <w:t xml:space="preserve">0 </w:t>
                    </w:r>
                    <w:r w:rsidRPr="00977374">
                      <w:rPr>
                        <w:rFonts w:ascii="Arial" w:hAnsi="Arial" w:cs="Arial"/>
                        <w:color w:val="FF0000"/>
                        <w:sz w:val="22"/>
                        <w:szCs w:val="22"/>
                      </w:rPr>
                      <w:t>•</w:t>
                    </w:r>
                    <w:r w:rsidRPr="00977374">
                      <w:rPr>
                        <w:rFonts w:ascii="Arial" w:hAnsi="Arial" w:cs="Arial"/>
                        <w:sz w:val="22"/>
                        <w:szCs w:val="22"/>
                      </w:rPr>
                      <w:t xml:space="preserve"> Washington, D.C. 20036 </w:t>
                    </w:r>
                    <w:r w:rsidRPr="00977374">
                      <w:rPr>
                        <w:rFonts w:ascii="Arial" w:hAnsi="Arial" w:cs="Arial"/>
                        <w:color w:val="FF0000"/>
                        <w:sz w:val="22"/>
                        <w:szCs w:val="22"/>
                      </w:rPr>
                      <w:t>•</w:t>
                    </w:r>
                    <w:r w:rsidRPr="00977374">
                      <w:rPr>
                        <w:rFonts w:ascii="Arial" w:hAnsi="Arial" w:cs="Arial"/>
                        <w:sz w:val="22"/>
                        <w:szCs w:val="22"/>
                      </w:rPr>
                      <w:t xml:space="preserve"> 202-</w:t>
                    </w:r>
                    <w:r w:rsidR="00822D38">
                      <w:rPr>
                        <w:rFonts w:ascii="Arial" w:hAnsi="Arial" w:cs="Arial"/>
                        <w:sz w:val="22"/>
                        <w:szCs w:val="22"/>
                      </w:rPr>
                      <w:t>350</w:t>
                    </w:r>
                    <w:r>
                      <w:rPr>
                        <w:rFonts w:ascii="Arial" w:hAnsi="Arial" w:cs="Arial"/>
                        <w:sz w:val="22"/>
                        <w:szCs w:val="22"/>
                      </w:rPr>
                      <w:t>-</w:t>
                    </w:r>
                    <w:r w:rsidR="00822D38">
                      <w:rPr>
                        <w:rFonts w:ascii="Arial" w:hAnsi="Arial" w:cs="Arial"/>
                        <w:sz w:val="22"/>
                        <w:szCs w:val="22"/>
                      </w:rPr>
                      <w:t>0144</w:t>
                    </w:r>
                  </w:p>
                  <w:p w:rsidR="00507920" w:rsidRDefault="00160C91" w:rsidP="00507920">
                    <w:pPr>
                      <w:pStyle w:val="BasicParagraph"/>
                      <w:spacing w:line="240" w:lineRule="auto"/>
                      <w:jc w:val="center"/>
                      <w:rPr>
                        <w:rFonts w:ascii="Arial" w:hAnsi="Arial" w:cs="Arial"/>
                        <w:color w:val="auto"/>
                        <w:spacing w:val="-5"/>
                        <w:sz w:val="22"/>
                        <w:szCs w:val="22"/>
                      </w:rPr>
                    </w:pPr>
                    <w:hyperlink r:id="rId3" w:history="1">
                      <w:r w:rsidR="00507920" w:rsidRPr="009D4E21">
                        <w:rPr>
                          <w:rStyle w:val="Hyperlink"/>
                          <w:rFonts w:ascii="Arial" w:hAnsi="Arial" w:cs="Arial"/>
                          <w:sz w:val="22"/>
                          <w:szCs w:val="22"/>
                          <w:u w:color="003FA0"/>
                        </w:rPr>
                        <w:t>www.AmericansForTaxFairness.org</w:t>
                      </w:r>
                    </w:hyperlink>
                    <w:r w:rsidR="00507920">
                      <w:rPr>
                        <w:rFonts w:ascii="Arial" w:hAnsi="Arial" w:cs="Arial"/>
                        <w:color w:val="auto"/>
                        <w:sz w:val="22"/>
                        <w:szCs w:val="22"/>
                        <w:u w:color="003FA0"/>
                      </w:rPr>
                      <w:t xml:space="preserve"> </w:t>
                    </w:r>
                    <w:r w:rsidR="00507920" w:rsidRPr="00977374">
                      <w:rPr>
                        <w:rFonts w:ascii="Arial" w:hAnsi="Arial" w:cs="Arial"/>
                        <w:color w:val="FF0000"/>
                        <w:sz w:val="22"/>
                        <w:szCs w:val="22"/>
                      </w:rPr>
                      <w:t>•</w:t>
                    </w:r>
                    <w:r w:rsidR="00507920" w:rsidRPr="00977374">
                      <w:rPr>
                        <w:rFonts w:ascii="Arial" w:hAnsi="Arial" w:cs="Arial"/>
                        <w:color w:val="auto"/>
                        <w:sz w:val="22"/>
                        <w:szCs w:val="22"/>
                      </w:rPr>
                      <w:t xml:space="preserve"> </w:t>
                    </w:r>
                    <w:r w:rsidR="00507920" w:rsidRPr="00977374">
                      <w:rPr>
                        <w:rFonts w:ascii="Arial" w:hAnsi="Arial" w:cs="Arial"/>
                        <w:color w:val="auto"/>
                        <w:spacing w:val="-4"/>
                        <w:sz w:val="22"/>
                        <w:szCs w:val="22"/>
                      </w:rPr>
                      <w:t>@4TaxFairness</w:t>
                    </w:r>
                    <w:r w:rsidR="00507920" w:rsidRPr="00977374">
                      <w:rPr>
                        <w:rFonts w:ascii="Arial" w:hAnsi="Arial" w:cs="Arial"/>
                        <w:color w:val="auto"/>
                        <w:sz w:val="22"/>
                        <w:szCs w:val="22"/>
                      </w:rPr>
                      <w:t xml:space="preserve"> </w:t>
                    </w:r>
                    <w:r w:rsidR="00507920" w:rsidRPr="00977374">
                      <w:rPr>
                        <w:rFonts w:ascii="Arial" w:hAnsi="Arial" w:cs="Arial"/>
                        <w:color w:val="FF0000"/>
                        <w:sz w:val="22"/>
                        <w:szCs w:val="22"/>
                      </w:rPr>
                      <w:t>•</w:t>
                    </w:r>
                    <w:r w:rsidR="00507920" w:rsidRPr="00977374">
                      <w:rPr>
                        <w:rFonts w:ascii="Arial" w:hAnsi="Arial" w:cs="Arial"/>
                        <w:color w:val="auto"/>
                        <w:sz w:val="22"/>
                        <w:szCs w:val="22"/>
                      </w:rPr>
                      <w:t xml:space="preserve"> </w:t>
                    </w:r>
                    <w:hyperlink r:id="rId4" w:history="1">
                      <w:r w:rsidR="00507920" w:rsidRPr="009D4E21">
                        <w:rPr>
                          <w:rStyle w:val="Hyperlink"/>
                          <w:rFonts w:ascii="Arial" w:hAnsi="Arial" w:cs="Arial"/>
                          <w:spacing w:val="-5"/>
                          <w:sz w:val="22"/>
                          <w:szCs w:val="22"/>
                        </w:rPr>
                        <w:t>www.Facebook.com/Americans4TaxFairness</w:t>
                      </w:r>
                    </w:hyperlink>
                  </w:p>
                  <w:p w:rsidR="00507920" w:rsidRPr="00977374" w:rsidRDefault="00507920" w:rsidP="00507920">
                    <w:pPr>
                      <w:pStyle w:val="BasicParagraph"/>
                      <w:spacing w:line="240" w:lineRule="auto"/>
                      <w:jc w:val="center"/>
                      <w:rPr>
                        <w:rFonts w:ascii="Arial" w:hAnsi="Arial" w:cs="Arial"/>
                        <w:color w:val="auto"/>
                        <w:spacing w:val="-5"/>
                        <w:sz w:val="22"/>
                        <w:szCs w:val="22"/>
                      </w:rPr>
                    </w:pPr>
                  </w:p>
                </w:txbxContent>
              </v:textbox>
              <w10:wrap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D38" w:rsidRPr="00822D38" w:rsidRDefault="00822D38" w:rsidP="00767622">
    <w:pPr>
      <w:spacing w:line="240" w:lineRule="exact"/>
      <w:ind w:left="-1440" w:right="-1440"/>
      <w:jc w:val="center"/>
      <w:rPr>
        <w:rFonts w:ascii="Arial" w:hAnsi="Arial" w:cs="Arial"/>
        <w:sz w:val="22"/>
        <w:szCs w:val="22"/>
      </w:rPr>
    </w:pPr>
    <w:r w:rsidRPr="00822D38">
      <w:rPr>
        <w:rFonts w:ascii="Arial" w:hAnsi="Arial" w:cs="Arial"/>
        <w:sz w:val="22"/>
        <w:szCs w:val="22"/>
      </w:rPr>
      <w:t xml:space="preserve">1726 M Street NW </w:t>
    </w:r>
    <w:r w:rsidRPr="00822D38">
      <w:rPr>
        <w:rFonts w:ascii="Arial" w:hAnsi="Arial" w:cs="Arial"/>
        <w:color w:val="FF0000"/>
        <w:sz w:val="22"/>
        <w:szCs w:val="22"/>
      </w:rPr>
      <w:t>•</w:t>
    </w:r>
    <w:r w:rsidRPr="00822D38">
      <w:rPr>
        <w:rFonts w:ascii="Arial" w:hAnsi="Arial" w:cs="Arial"/>
        <w:sz w:val="22"/>
        <w:szCs w:val="22"/>
      </w:rPr>
      <w:t xml:space="preserve"> Suite 1100 </w:t>
    </w:r>
    <w:r w:rsidRPr="00822D38">
      <w:rPr>
        <w:rFonts w:ascii="Arial" w:hAnsi="Arial" w:cs="Arial"/>
        <w:color w:val="FF0000"/>
        <w:sz w:val="22"/>
        <w:szCs w:val="22"/>
      </w:rPr>
      <w:t>•</w:t>
    </w:r>
    <w:r w:rsidRPr="00822D38">
      <w:rPr>
        <w:rFonts w:ascii="Arial" w:hAnsi="Arial" w:cs="Arial"/>
        <w:sz w:val="22"/>
        <w:szCs w:val="22"/>
      </w:rPr>
      <w:t xml:space="preserve"> Washington, D.C. 20036 </w:t>
    </w:r>
    <w:r w:rsidRPr="00822D38">
      <w:rPr>
        <w:rFonts w:ascii="Arial" w:hAnsi="Arial" w:cs="Arial"/>
        <w:color w:val="FF0000"/>
        <w:sz w:val="22"/>
        <w:szCs w:val="22"/>
      </w:rPr>
      <w:t>•</w:t>
    </w:r>
    <w:r w:rsidRPr="00822D38">
      <w:rPr>
        <w:rFonts w:ascii="Arial" w:hAnsi="Arial" w:cs="Arial"/>
        <w:sz w:val="22"/>
        <w:szCs w:val="22"/>
      </w:rPr>
      <w:t xml:space="preserve"> 202-350-0144</w:t>
    </w:r>
  </w:p>
  <w:p w:rsidR="00822D38" w:rsidRPr="00822D38" w:rsidRDefault="00160C91" w:rsidP="00767622">
    <w:pPr>
      <w:pStyle w:val="BasicParagraph"/>
      <w:spacing w:line="240" w:lineRule="auto"/>
      <w:ind w:left="-1440" w:right="-1440"/>
      <w:jc w:val="center"/>
      <w:rPr>
        <w:rFonts w:ascii="Arial" w:hAnsi="Arial" w:cs="Arial"/>
        <w:color w:val="auto"/>
        <w:spacing w:val="-5"/>
        <w:sz w:val="22"/>
        <w:szCs w:val="22"/>
      </w:rPr>
    </w:pPr>
    <w:hyperlink r:id="rId1" w:history="1">
      <w:r w:rsidR="00822D38" w:rsidRPr="00822D38">
        <w:rPr>
          <w:rStyle w:val="Hyperlink"/>
          <w:rFonts w:ascii="Arial" w:hAnsi="Arial" w:cs="Arial"/>
          <w:sz w:val="22"/>
          <w:szCs w:val="22"/>
          <w:u w:color="003FA0"/>
        </w:rPr>
        <w:t>www.AmericansForTaxFairness.org</w:t>
      </w:r>
    </w:hyperlink>
    <w:r w:rsidR="00822D38" w:rsidRPr="00822D38">
      <w:rPr>
        <w:rFonts w:ascii="Arial" w:hAnsi="Arial" w:cs="Arial"/>
        <w:color w:val="auto"/>
        <w:sz w:val="22"/>
        <w:szCs w:val="22"/>
        <w:u w:color="003FA0"/>
      </w:rPr>
      <w:t xml:space="preserve"> </w:t>
    </w:r>
    <w:r w:rsidR="00822D38" w:rsidRPr="00822D38">
      <w:rPr>
        <w:rFonts w:ascii="Arial" w:hAnsi="Arial" w:cs="Arial"/>
        <w:color w:val="FF0000"/>
        <w:sz w:val="22"/>
        <w:szCs w:val="22"/>
      </w:rPr>
      <w:t>•</w:t>
    </w:r>
    <w:r w:rsidR="00822D38" w:rsidRPr="00822D38">
      <w:rPr>
        <w:rFonts w:ascii="Arial" w:hAnsi="Arial" w:cs="Arial"/>
        <w:color w:val="auto"/>
        <w:sz w:val="22"/>
        <w:szCs w:val="22"/>
      </w:rPr>
      <w:t xml:space="preserve"> </w:t>
    </w:r>
    <w:r w:rsidR="00822D38" w:rsidRPr="00822D38">
      <w:rPr>
        <w:rFonts w:ascii="Arial" w:hAnsi="Arial" w:cs="Arial"/>
        <w:color w:val="auto"/>
        <w:spacing w:val="-4"/>
        <w:sz w:val="22"/>
        <w:szCs w:val="22"/>
      </w:rPr>
      <w:t>@4TaxFairness</w:t>
    </w:r>
    <w:r w:rsidR="00822D38" w:rsidRPr="00822D38">
      <w:rPr>
        <w:rFonts w:ascii="Arial" w:hAnsi="Arial" w:cs="Arial"/>
        <w:color w:val="auto"/>
        <w:sz w:val="22"/>
        <w:szCs w:val="22"/>
      </w:rPr>
      <w:t xml:space="preserve"> </w:t>
    </w:r>
    <w:r w:rsidR="00822D38" w:rsidRPr="00822D38">
      <w:rPr>
        <w:rFonts w:ascii="Arial" w:hAnsi="Arial" w:cs="Arial"/>
        <w:color w:val="FF0000"/>
        <w:sz w:val="22"/>
        <w:szCs w:val="22"/>
      </w:rPr>
      <w:t>•</w:t>
    </w:r>
    <w:r w:rsidR="00822D38">
      <w:rPr>
        <w:rFonts w:ascii="Arial" w:hAnsi="Arial" w:cs="Arial"/>
        <w:color w:val="auto"/>
        <w:sz w:val="22"/>
        <w:szCs w:val="22"/>
      </w:rPr>
      <w:t xml:space="preserve"> </w:t>
    </w:r>
    <w:hyperlink r:id="rId2" w:history="1">
      <w:r w:rsidR="00822D38" w:rsidRPr="002721B5">
        <w:rPr>
          <w:rStyle w:val="Hyperlink"/>
          <w:rFonts w:ascii="Arial" w:hAnsi="Arial" w:cs="Arial"/>
          <w:spacing w:val="-5"/>
          <w:sz w:val="22"/>
          <w:szCs w:val="22"/>
        </w:rPr>
        <w:t>www.Facebook.com/Americans4TaxFairness</w:t>
      </w:r>
    </w:hyperlink>
  </w:p>
  <w:p w:rsidR="00822D38" w:rsidRDefault="00822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C91" w:rsidRDefault="00160C91">
      <w:r>
        <w:separator/>
      </w:r>
    </w:p>
  </w:footnote>
  <w:footnote w:type="continuationSeparator" w:id="0">
    <w:p w:rsidR="00160C91" w:rsidRDefault="00160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13D" w:rsidRPr="0098713D" w:rsidRDefault="0098713D">
    <w:pPr>
      <w:pStyle w:val="Header"/>
      <w:jc w:val="right"/>
      <w:rPr>
        <w:rFonts w:ascii="Calibri" w:hAnsi="Calibri" w:cs="Calibri"/>
      </w:rPr>
    </w:pPr>
    <w:r w:rsidRPr="0098713D">
      <w:rPr>
        <w:rFonts w:ascii="Calibri" w:hAnsi="Calibri" w:cs="Calibri"/>
      </w:rPr>
      <w:fldChar w:fldCharType="begin"/>
    </w:r>
    <w:r w:rsidRPr="0098713D">
      <w:rPr>
        <w:rFonts w:ascii="Calibri" w:hAnsi="Calibri" w:cs="Calibri"/>
      </w:rPr>
      <w:instrText xml:space="preserve"> PAGE   \* MERGEFORMAT </w:instrText>
    </w:r>
    <w:r w:rsidRPr="0098713D">
      <w:rPr>
        <w:rFonts w:ascii="Calibri" w:hAnsi="Calibri" w:cs="Calibri"/>
      </w:rPr>
      <w:fldChar w:fldCharType="separate"/>
    </w:r>
    <w:r w:rsidR="006E789F">
      <w:rPr>
        <w:rFonts w:ascii="Calibri" w:hAnsi="Calibri" w:cs="Calibri"/>
        <w:noProof/>
      </w:rPr>
      <w:t>3</w:t>
    </w:r>
    <w:r w:rsidRPr="0098713D">
      <w:rPr>
        <w:rFonts w:ascii="Calibri" w:hAnsi="Calibri" w:cs="Calibri"/>
        <w:noProof/>
      </w:rPr>
      <w:fldChar w:fldCharType="end"/>
    </w:r>
  </w:p>
  <w:p w:rsidR="0098713D" w:rsidRDefault="00987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3909D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5316C"/>
    <w:multiLevelType w:val="multilevel"/>
    <w:tmpl w:val="8CD6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125B9B"/>
    <w:multiLevelType w:val="hybridMultilevel"/>
    <w:tmpl w:val="CD82A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2A0AF7"/>
    <w:multiLevelType w:val="hybridMultilevel"/>
    <w:tmpl w:val="7B9C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C12CD"/>
    <w:multiLevelType w:val="hybridMultilevel"/>
    <w:tmpl w:val="DDB02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88719E"/>
    <w:multiLevelType w:val="hybridMultilevel"/>
    <w:tmpl w:val="6CF2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DB000E"/>
    <w:multiLevelType w:val="hybridMultilevel"/>
    <w:tmpl w:val="8A546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596219"/>
    <w:multiLevelType w:val="hybridMultilevel"/>
    <w:tmpl w:val="4E601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4E3302"/>
    <w:multiLevelType w:val="hybridMultilevel"/>
    <w:tmpl w:val="6B04E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C404DE5"/>
    <w:multiLevelType w:val="hybridMultilevel"/>
    <w:tmpl w:val="13DEA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2F80B54"/>
    <w:multiLevelType w:val="hybridMultilevel"/>
    <w:tmpl w:val="40EC00CE"/>
    <w:lvl w:ilvl="0" w:tplc="04090001">
      <w:start w:val="1"/>
      <w:numFmt w:val="bullet"/>
      <w:lvlText w:val=""/>
      <w:lvlJc w:val="left"/>
      <w:pPr>
        <w:ind w:left="720" w:hanging="360"/>
      </w:pPr>
      <w:rPr>
        <w:rFonts w:ascii="Symbol" w:hAnsi="Symbol"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C94BDD"/>
    <w:multiLevelType w:val="hybridMultilevel"/>
    <w:tmpl w:val="F85A5DF0"/>
    <w:lvl w:ilvl="0" w:tplc="37FC408E">
      <w:start w:val="1"/>
      <w:numFmt w:val="decimal"/>
      <w:lvlText w:val="%1."/>
      <w:lvlJc w:val="left"/>
      <w:pPr>
        <w:ind w:left="360" w:hanging="360"/>
      </w:pPr>
      <w:rPr>
        <w:b/>
        <w:color w:val="4F81B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29E6976"/>
    <w:multiLevelType w:val="hybridMultilevel"/>
    <w:tmpl w:val="DB90D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4BB0C68"/>
    <w:multiLevelType w:val="hybridMultilevel"/>
    <w:tmpl w:val="4C023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9A1667E"/>
    <w:multiLevelType w:val="hybridMultilevel"/>
    <w:tmpl w:val="47C60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0C609A"/>
    <w:multiLevelType w:val="hybridMultilevel"/>
    <w:tmpl w:val="9510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2"/>
  </w:num>
  <w:num w:numId="5">
    <w:abstractNumId w:val="8"/>
  </w:num>
  <w:num w:numId="6">
    <w:abstractNumId w:val="0"/>
  </w:num>
  <w:num w:numId="7">
    <w:abstractNumId w:val="10"/>
  </w:num>
  <w:num w:numId="8">
    <w:abstractNumId w:val="13"/>
  </w:num>
  <w:num w:numId="9">
    <w:abstractNumId w:val="9"/>
  </w:num>
  <w:num w:numId="10">
    <w:abstractNumId w:val="4"/>
  </w:num>
  <w:num w:numId="11">
    <w:abstractNumId w:val="7"/>
  </w:num>
  <w:num w:numId="12">
    <w:abstractNumId w:val="11"/>
  </w:num>
  <w:num w:numId="13">
    <w:abstractNumId w:val="5"/>
  </w:num>
  <w:num w:numId="14">
    <w:abstractNumId w:val="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FD"/>
    <w:rsid w:val="00012525"/>
    <w:rsid w:val="00035CE4"/>
    <w:rsid w:val="0004722E"/>
    <w:rsid w:val="0006626F"/>
    <w:rsid w:val="000B405E"/>
    <w:rsid w:val="000F500B"/>
    <w:rsid w:val="00144962"/>
    <w:rsid w:val="00160C91"/>
    <w:rsid w:val="001626DA"/>
    <w:rsid w:val="00165150"/>
    <w:rsid w:val="00206CCC"/>
    <w:rsid w:val="0023653B"/>
    <w:rsid w:val="0025538F"/>
    <w:rsid w:val="00271217"/>
    <w:rsid w:val="002D0E41"/>
    <w:rsid w:val="00306FB4"/>
    <w:rsid w:val="00377F7B"/>
    <w:rsid w:val="00452B52"/>
    <w:rsid w:val="00470AAE"/>
    <w:rsid w:val="004A6C54"/>
    <w:rsid w:val="004D767D"/>
    <w:rsid w:val="004F52AA"/>
    <w:rsid w:val="00507920"/>
    <w:rsid w:val="00537C85"/>
    <w:rsid w:val="005670C6"/>
    <w:rsid w:val="005767DB"/>
    <w:rsid w:val="006233A1"/>
    <w:rsid w:val="006571E4"/>
    <w:rsid w:val="00692AFB"/>
    <w:rsid w:val="00695CD4"/>
    <w:rsid w:val="006C5B87"/>
    <w:rsid w:val="006E789F"/>
    <w:rsid w:val="00767622"/>
    <w:rsid w:val="0077038E"/>
    <w:rsid w:val="007928BC"/>
    <w:rsid w:val="00793546"/>
    <w:rsid w:val="00822D38"/>
    <w:rsid w:val="00854D45"/>
    <w:rsid w:val="008B6F98"/>
    <w:rsid w:val="008E1AFD"/>
    <w:rsid w:val="009527D3"/>
    <w:rsid w:val="00972351"/>
    <w:rsid w:val="0098713D"/>
    <w:rsid w:val="009F1C3D"/>
    <w:rsid w:val="00A0056A"/>
    <w:rsid w:val="00A222B9"/>
    <w:rsid w:val="00A55C69"/>
    <w:rsid w:val="00AF101B"/>
    <w:rsid w:val="00B06E28"/>
    <w:rsid w:val="00B20F14"/>
    <w:rsid w:val="00B36CF2"/>
    <w:rsid w:val="00B4106B"/>
    <w:rsid w:val="00BA5647"/>
    <w:rsid w:val="00C22581"/>
    <w:rsid w:val="00C538D6"/>
    <w:rsid w:val="00D316F0"/>
    <w:rsid w:val="00D6659F"/>
    <w:rsid w:val="00DD1D75"/>
    <w:rsid w:val="00DE324C"/>
    <w:rsid w:val="00DE413F"/>
    <w:rsid w:val="00E66FDC"/>
    <w:rsid w:val="00E73B20"/>
    <w:rsid w:val="00E86D22"/>
    <w:rsid w:val="00F84F5C"/>
    <w:rsid w:val="00F93953"/>
    <w:rsid w:val="00F9574C"/>
    <w:rsid w:val="00FA71A2"/>
    <w:rsid w:val="00FD0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efaultImageDpi w14:val="300"/>
  <w15:docId w15:val="{5451B42A-47BF-4ABE-BC99-AAA67A16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ind w:left="360"/>
      <w:jc w:val="center"/>
      <w:outlineLvl w:val="0"/>
    </w:pPr>
    <w:rPr>
      <w:rFonts w:ascii="Helvetica" w:hAnsi="Helvetica"/>
      <w:b/>
      <w:color w:val="000000"/>
    </w:rPr>
  </w:style>
  <w:style w:type="paragraph" w:styleId="Heading2">
    <w:name w:val="heading 2"/>
    <w:basedOn w:val="Normal"/>
    <w:next w:val="Normal"/>
    <w:link w:val="Heading2Char"/>
    <w:semiHidden/>
    <w:unhideWhenUsed/>
    <w:qFormat/>
    <w:rsid w:val="0098713D"/>
    <w:pPr>
      <w:keepNext/>
      <w:spacing w:before="240" w:after="60"/>
      <w:outlineLvl w:val="1"/>
    </w:pPr>
    <w:rPr>
      <w:rFonts w:ascii="Calibri Light" w:eastAsia="Times New Roman" w:hAnsi="Calibri Light"/>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Times-Roman" w:eastAsia="Times New Roman" w:hAnsi="Times-Roman"/>
      <w:color w:val="000000"/>
    </w:rPr>
  </w:style>
  <w:style w:type="paragraph" w:customStyle="1" w:styleId="ColorfulList-Accent11">
    <w:name w:val="Colorful List - Accent 11"/>
    <w:basedOn w:val="Normal"/>
    <w:uiPriority w:val="99"/>
    <w:qFormat/>
    <w:rsid w:val="0025538F"/>
    <w:pPr>
      <w:spacing w:after="200" w:line="276" w:lineRule="auto"/>
      <w:ind w:left="720"/>
      <w:contextualSpacing/>
    </w:pPr>
    <w:rPr>
      <w:rFonts w:ascii="Calibri" w:eastAsia="Calibri" w:hAnsi="Calibri"/>
      <w:sz w:val="22"/>
      <w:szCs w:val="22"/>
    </w:rPr>
  </w:style>
  <w:style w:type="paragraph" w:styleId="ListParagraph">
    <w:name w:val="List Paragraph"/>
    <w:basedOn w:val="Normal"/>
    <w:link w:val="ListParagraphChar"/>
    <w:uiPriority w:val="34"/>
    <w:qFormat/>
    <w:rsid w:val="00A55C69"/>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A55C69"/>
    <w:rPr>
      <w:rFonts w:ascii="Calibri" w:eastAsia="Calibri" w:hAnsi="Calibri"/>
      <w:sz w:val="22"/>
      <w:szCs w:val="22"/>
    </w:rPr>
  </w:style>
  <w:style w:type="character" w:customStyle="1" w:styleId="Heading2Char">
    <w:name w:val="Heading 2 Char"/>
    <w:link w:val="Heading2"/>
    <w:semiHidden/>
    <w:rsid w:val="0098713D"/>
    <w:rPr>
      <w:rFonts w:ascii="Calibri Light" w:eastAsia="Times New Roman" w:hAnsi="Calibri Light"/>
      <w:b/>
      <w:bCs/>
      <w:i/>
      <w:iCs/>
      <w:sz w:val="28"/>
      <w:szCs w:val="28"/>
      <w:lang w:val="x-none" w:eastAsia="x-none"/>
    </w:rPr>
  </w:style>
  <w:style w:type="paragraph" w:styleId="CommentText">
    <w:name w:val="annotation text"/>
    <w:basedOn w:val="Normal"/>
    <w:link w:val="CommentTextChar"/>
    <w:uiPriority w:val="99"/>
    <w:rsid w:val="0098713D"/>
    <w:rPr>
      <w:sz w:val="20"/>
    </w:rPr>
  </w:style>
  <w:style w:type="character" w:customStyle="1" w:styleId="CommentTextChar">
    <w:name w:val="Comment Text Char"/>
    <w:basedOn w:val="DefaultParagraphFont"/>
    <w:link w:val="CommentText"/>
    <w:uiPriority w:val="99"/>
    <w:rsid w:val="0098713D"/>
  </w:style>
  <w:style w:type="paragraph" w:customStyle="1" w:styleId="FreeForm">
    <w:name w:val="Free Form"/>
    <w:rsid w:val="0098713D"/>
    <w:rPr>
      <w:rFonts w:ascii="Helvetica" w:eastAsia="ヒラギノ角ゴ Pro W3" w:hAnsi="Helvetica"/>
      <w:color w:val="000000"/>
      <w:sz w:val="24"/>
    </w:rPr>
  </w:style>
  <w:style w:type="paragraph" w:styleId="EndnoteText">
    <w:name w:val="endnote text"/>
    <w:basedOn w:val="Normal"/>
    <w:link w:val="EndnoteTextChar"/>
    <w:uiPriority w:val="99"/>
    <w:rsid w:val="0098713D"/>
    <w:rPr>
      <w:rFonts w:ascii="Calibri" w:eastAsia="Calibri" w:hAnsi="Calibri"/>
      <w:sz w:val="20"/>
      <w:lang w:val="x-none" w:eastAsia="x-none"/>
    </w:rPr>
  </w:style>
  <w:style w:type="character" w:customStyle="1" w:styleId="EndnoteTextChar">
    <w:name w:val="Endnote Text Char"/>
    <w:link w:val="EndnoteText"/>
    <w:uiPriority w:val="99"/>
    <w:rsid w:val="0098713D"/>
    <w:rPr>
      <w:rFonts w:ascii="Calibri" w:eastAsia="Calibri" w:hAnsi="Calibri"/>
      <w:lang w:val="x-none" w:eastAsia="x-none"/>
    </w:rPr>
  </w:style>
  <w:style w:type="character" w:styleId="EndnoteReference">
    <w:name w:val="endnote reference"/>
    <w:uiPriority w:val="99"/>
    <w:rsid w:val="0098713D"/>
    <w:rPr>
      <w:rFonts w:cs="Times New Roman"/>
      <w:vertAlign w:val="superscript"/>
    </w:rPr>
  </w:style>
  <w:style w:type="paragraph" w:customStyle="1" w:styleId="Default">
    <w:name w:val="Default"/>
    <w:uiPriority w:val="99"/>
    <w:rsid w:val="0098713D"/>
    <w:pPr>
      <w:autoSpaceDE w:val="0"/>
      <w:autoSpaceDN w:val="0"/>
      <w:adjustRightInd w:val="0"/>
    </w:pPr>
    <w:rPr>
      <w:rFonts w:ascii="Calibri" w:hAnsi="Calibri" w:cs="Calibri"/>
      <w:color w:val="000000"/>
      <w:sz w:val="24"/>
      <w:szCs w:val="24"/>
    </w:rPr>
  </w:style>
  <w:style w:type="paragraph" w:styleId="NoSpacing">
    <w:name w:val="No Spacing"/>
    <w:uiPriority w:val="1"/>
    <w:qFormat/>
    <w:rsid w:val="0098713D"/>
    <w:rPr>
      <w:rFonts w:ascii="Calibri" w:eastAsia="Calibri" w:hAnsi="Calibri"/>
      <w:sz w:val="22"/>
      <w:szCs w:val="22"/>
    </w:rPr>
  </w:style>
  <w:style w:type="character" w:customStyle="1" w:styleId="HeaderChar">
    <w:name w:val="Header Char"/>
    <w:link w:val="Header"/>
    <w:uiPriority w:val="99"/>
    <w:rsid w:val="0098713D"/>
    <w:rPr>
      <w:sz w:val="24"/>
    </w:rPr>
  </w:style>
  <w:style w:type="paragraph" w:styleId="BalloonText">
    <w:name w:val="Balloon Text"/>
    <w:basedOn w:val="Normal"/>
    <w:link w:val="BalloonTextChar"/>
    <w:rsid w:val="00035CE4"/>
    <w:rPr>
      <w:rFonts w:ascii="Segoe UI" w:hAnsi="Segoe UI" w:cs="Segoe UI"/>
      <w:sz w:val="18"/>
      <w:szCs w:val="18"/>
    </w:rPr>
  </w:style>
  <w:style w:type="character" w:customStyle="1" w:styleId="BalloonTextChar">
    <w:name w:val="Balloon Text Char"/>
    <w:link w:val="BalloonText"/>
    <w:rsid w:val="00035CE4"/>
    <w:rPr>
      <w:rFonts w:ascii="Segoe UI" w:hAnsi="Segoe UI" w:cs="Segoe UI"/>
      <w:sz w:val="18"/>
      <w:szCs w:val="18"/>
    </w:rPr>
  </w:style>
  <w:style w:type="paragraph" w:styleId="Revision">
    <w:name w:val="Revision"/>
    <w:hidden/>
    <w:uiPriority w:val="99"/>
    <w:semiHidden/>
    <w:rsid w:val="00F84F5C"/>
    <w:rPr>
      <w:sz w:val="24"/>
    </w:rPr>
  </w:style>
  <w:style w:type="character" w:styleId="FollowedHyperlink">
    <w:name w:val="FollowedHyperlink"/>
    <w:rsid w:val="001626DA"/>
    <w:rPr>
      <w:color w:val="800080"/>
      <w:u w:val="single"/>
    </w:rPr>
  </w:style>
  <w:style w:type="character" w:customStyle="1" w:styleId="protocol">
    <w:name w:val="protocol"/>
    <w:rsid w:val="00012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loomberg.com/news/2014-01-17/ge-profit-matches-forecasts-on-jet-engine-sales.html" TargetMode="External"/><Relationship Id="rId18" Type="http://schemas.openxmlformats.org/officeDocument/2006/relationships/hyperlink" Target="http://www.ctj.org/corporatetaxdodgers/sorrystateofcorptaxe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cconnell.senate.gov/public/index.cfm?p=PressReleases&amp;ContentRecord_id=c4f00199-4c07-4839-9ae0-cd360d0e4033&amp;ContentType_id=c19bc7a5-2bb9-4a73-b2ab-3c1b5191a72b&amp;Group_id=0fd6ddca-6a05-4b26-8710-a0b7b59a8f1f&amp;MonthDisplay=1&amp;YearDisplay=2014" TargetMode="External"/><Relationship Id="rId7" Type="http://schemas.openxmlformats.org/officeDocument/2006/relationships/endnotes" Target="endnotes.xml"/><Relationship Id="rId12" Type="http://schemas.openxmlformats.org/officeDocument/2006/relationships/hyperlink" Target="http://www.huffingtonpost.com/2013/07/09/financial-risk-council-aig_n_3569517.html" TargetMode="External"/><Relationship Id="rId17" Type="http://schemas.openxmlformats.org/officeDocument/2006/relationships/hyperlink" Target="http://www.ctj.org/pdf/extenders_december_2013.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tj.org/ctjreports/2012/08/dont_renew_the_offshore_tax_loopholes.php" TargetMode="External"/><Relationship Id="rId20" Type="http://schemas.openxmlformats.org/officeDocument/2006/relationships/hyperlink" Target="http://www.c-spanvideo.org/clip/44832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sfortaxfairness.org/files/CBO-Costs-of-Extending-Tax-Provisions-Set-to-Expire-Before-2024-Table-7-ONLY-2-14-2014.xls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spirg.org/sites/pirg/files/reports/Offshore_Shell_Games_USPIRG.pdf" TargetMode="External"/><Relationship Id="rId23" Type="http://schemas.openxmlformats.org/officeDocument/2006/relationships/footer" Target="footer1.xml"/><Relationship Id="rId10" Type="http://schemas.openxmlformats.org/officeDocument/2006/relationships/hyperlink" Target="http://www.americansfortaxfairness.org/files/CBO-Costs-of-Extending-Tax-Provisions-Set-to-Expire-Before-2024-Table-7-ONLY-2-14-2014.xlsx" TargetMode="External"/><Relationship Id="rId19" Type="http://schemas.openxmlformats.org/officeDocument/2006/relationships/hyperlink" Target="http://www.nytimes.com/2011/03/25/business/economy/25tax.html?pagewanted=all&amp;_r=0" TargetMode="External"/><Relationship Id="rId4" Type="http://schemas.openxmlformats.org/officeDocument/2006/relationships/settings" Target="settings.xml"/><Relationship Id="rId9" Type="http://schemas.openxmlformats.org/officeDocument/2006/relationships/hyperlink" Target="http://www.ctj.org/corporatetaxdodgers/sorrystateofcorptaxes.pdf" TargetMode="External"/><Relationship Id="rId14" Type="http://schemas.openxmlformats.org/officeDocument/2006/relationships/hyperlink" Target="http://www.reuters.com/article/2013/05/08/us-usa-taxes-oveseas-idUSBRE9470Z920130508" TargetMode="External"/><Relationship Id="rId22"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uspirg.org/sites/pirg/files/reports/Offshore_Shell_Games_USPIRG.pdf" TargetMode="External"/><Relationship Id="rId13" Type="http://schemas.openxmlformats.org/officeDocument/2006/relationships/hyperlink" Target="http://www.mcconnell.senate.gov/public/index.cfm?p=PressReleases&amp;ContentRecord_id=c4f00199-4c07-4839-9ae0-cd360d0e4033&amp;ContentType_id=c19bc7a5-2bb9-4a73-b2ab-3c1b5191a72b&amp;Group_id=0fd6ddca-6a05-4b26-8710-a0b7b59a8f1f&amp;MonthDisplay=1&amp;YearDisplay=2014" TargetMode="External"/><Relationship Id="rId3" Type="http://schemas.openxmlformats.org/officeDocument/2006/relationships/hyperlink" Target="http://www.americansfortaxfairness.org/files/CBO-Costs-of-Extending-Tax-Provisions-Set-to-Expire-Before-2024-Table-7-ONLY-2-14-2014.xlsx" TargetMode="External"/><Relationship Id="rId7" Type="http://schemas.openxmlformats.org/officeDocument/2006/relationships/hyperlink" Target="http://www.reuters.com/article/2013/05/08/us-usa-taxes-oveseas-idUSBRE9470Z920130508" TargetMode="External"/><Relationship Id="rId12" Type="http://schemas.openxmlformats.org/officeDocument/2006/relationships/hyperlink" Target="http://www.c-spanvideo.org/clip/4483259" TargetMode="External"/><Relationship Id="rId2" Type="http://schemas.openxmlformats.org/officeDocument/2006/relationships/hyperlink" Target="http://bit.ly/1jbDLDM" TargetMode="External"/><Relationship Id="rId1" Type="http://schemas.openxmlformats.org/officeDocument/2006/relationships/hyperlink" Target="http://www.ctj.org/corporatetaxdodgers/sorrystateofcorptaxes.pdf" TargetMode="External"/><Relationship Id="rId6" Type="http://schemas.openxmlformats.org/officeDocument/2006/relationships/hyperlink" Target="http://www.bloomberg.com/news/2014-01-17/ge-profit-matches-forecasts-on-jet-engine-sales.html" TargetMode="External"/><Relationship Id="rId11" Type="http://schemas.openxmlformats.org/officeDocument/2006/relationships/hyperlink" Target="http://www.nytimes.com/2011/03/25/business/economy/25tax.html?pagewanted=all&amp;_r=1&amp;" TargetMode="External"/><Relationship Id="rId5" Type="http://schemas.openxmlformats.org/officeDocument/2006/relationships/hyperlink" Target="http://www.huffingtonpost.com/2013/07/09/financial-risk-council-aig_n_3569517.html" TargetMode="External"/><Relationship Id="rId15" Type="http://schemas.openxmlformats.org/officeDocument/2006/relationships/hyperlink" Target="http://www.mcconnell.senate.gov/public/index.cfm?p=PressReleases&amp;ContentRecord_id=c4f00199-4c07-4839-9ae0-cd360d0e4033&amp;ContentType_id=c19bc7a5-2bb9-4a73-b2ab-3c1b5191a72b&amp;Group_id=0fd6ddca-6a05-4b26-8710-a0b7b59a8f1f&amp;MonthDisplay=1&amp;YearDisplay=2014" TargetMode="External"/><Relationship Id="rId10" Type="http://schemas.openxmlformats.org/officeDocument/2006/relationships/hyperlink" Target="http://www.ctj.org/pdf/extenders_december_2013.pdf" TargetMode="External"/><Relationship Id="rId4" Type="http://schemas.openxmlformats.org/officeDocument/2006/relationships/hyperlink" Target="http://www.cbo.gov/publication/45065" TargetMode="External"/><Relationship Id="rId9" Type="http://schemas.openxmlformats.org/officeDocument/2006/relationships/hyperlink" Target="http://ctj.org/ctjreports/2012/08/dont_renew_the_offshore_tax_loopholes.php" TargetMode="External"/><Relationship Id="rId14" Type="http://schemas.openxmlformats.org/officeDocument/2006/relationships/hyperlink" Target="http://www.mcconnell.senate.gov/public/index.cfm?p=PressReleases&amp;ContentRecord_id=c4f00199-4c07-4839-9ae0-cd360d0e4033&amp;ContentType_id=c19bc7a5-2bb9-4a73-b2ab-3c1b5191a72b&amp;Group_id=0fd6ddca-6a05-4b26-8710-a0b7b59a8f1f&amp;MonthDisplay=1&amp;YearDisplay=2014"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mericansForTaxFairness.org" TargetMode="External"/><Relationship Id="rId2" Type="http://schemas.openxmlformats.org/officeDocument/2006/relationships/hyperlink" Target="http://www.Facebook.com/Americans4TaxFairness" TargetMode="External"/><Relationship Id="rId1" Type="http://schemas.openxmlformats.org/officeDocument/2006/relationships/hyperlink" Target="http://www.AmericansForTaxFairness.org" TargetMode="External"/><Relationship Id="rId4" Type="http://schemas.openxmlformats.org/officeDocument/2006/relationships/hyperlink" Target="http://www.Facebook.com/Americans4TaxFairnes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Americans4TaxFairness" TargetMode="External"/><Relationship Id="rId1" Type="http://schemas.openxmlformats.org/officeDocument/2006/relationships/hyperlink" Target="http://www.AmericansForTaxFairn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79D33-4428-439D-A1B3-F63DBBF09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ATF GE Fact Sheet</vt:lpstr>
    </vt:vector>
  </TitlesOfParts>
  <Company>CAF</Company>
  <LinksUpToDate>false</LinksUpToDate>
  <CharactersWithSpaces>6913</CharactersWithSpaces>
  <SharedDoc>false</SharedDoc>
  <HLinks>
    <vt:vector size="30" baseType="variant">
      <vt:variant>
        <vt:i4>1572955</vt:i4>
      </vt:variant>
      <vt:variant>
        <vt:i4>6</vt:i4>
      </vt:variant>
      <vt:variant>
        <vt:i4>0</vt:i4>
      </vt:variant>
      <vt:variant>
        <vt:i4>5</vt:i4>
      </vt:variant>
      <vt:variant>
        <vt:lpwstr>http://www.facebook.com/Americans4TaxFairness</vt:lpwstr>
      </vt:variant>
      <vt:variant>
        <vt:lpwstr/>
      </vt:variant>
      <vt:variant>
        <vt:i4>3801209</vt:i4>
      </vt:variant>
      <vt:variant>
        <vt:i4>3</vt:i4>
      </vt:variant>
      <vt:variant>
        <vt:i4>0</vt:i4>
      </vt:variant>
      <vt:variant>
        <vt:i4>5</vt:i4>
      </vt:variant>
      <vt:variant>
        <vt:lpwstr>http://www.americansfortaxfairness.org/</vt:lpwstr>
      </vt:variant>
      <vt:variant>
        <vt:lpwstr/>
      </vt:variant>
      <vt:variant>
        <vt:i4>1572955</vt:i4>
      </vt:variant>
      <vt:variant>
        <vt:i4>3</vt:i4>
      </vt:variant>
      <vt:variant>
        <vt:i4>0</vt:i4>
      </vt:variant>
      <vt:variant>
        <vt:i4>5</vt:i4>
      </vt:variant>
      <vt:variant>
        <vt:lpwstr>http://www.facebook.com/Americans4TaxFairness</vt:lpwstr>
      </vt:variant>
      <vt:variant>
        <vt:lpwstr/>
      </vt:variant>
      <vt:variant>
        <vt:i4>3801209</vt:i4>
      </vt:variant>
      <vt:variant>
        <vt:i4>0</vt:i4>
      </vt:variant>
      <vt:variant>
        <vt:i4>0</vt:i4>
      </vt:variant>
      <vt:variant>
        <vt:i4>5</vt:i4>
      </vt:variant>
      <vt:variant>
        <vt:lpwstr>http://www.americansfortaxfairness.org/</vt:lpwstr>
      </vt:variant>
      <vt:variant>
        <vt:lpwstr/>
      </vt:variant>
      <vt:variant>
        <vt:i4>8126505</vt:i4>
      </vt:variant>
      <vt:variant>
        <vt:i4>-1</vt:i4>
      </vt:variant>
      <vt:variant>
        <vt:i4>1039</vt:i4>
      </vt:variant>
      <vt:variant>
        <vt:i4>1</vt:i4>
      </vt:variant>
      <vt:variant>
        <vt:lpwstr>Macintosh HD:2012/OTHERS:TaxFairness:1201/LOGO:LOGO:Letterhead.jpg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ATF GE Fact Sheet</dc:title>
  <dc:subject>GE fact sheet</dc:subject>
  <dc:creator>ATF</dc:creator>
  <cp:keywords>active financing;General Electric;GE</cp:keywords>
  <cp:lastModifiedBy>Bill Gordon</cp:lastModifiedBy>
  <cp:revision>2</cp:revision>
  <cp:lastPrinted>2013-05-20T23:02:00Z</cp:lastPrinted>
  <dcterms:created xsi:type="dcterms:W3CDTF">2014-03-21T15:42:00Z</dcterms:created>
  <dcterms:modified xsi:type="dcterms:W3CDTF">2014-03-21T15:42:00Z</dcterms:modified>
</cp:coreProperties>
</file>