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2B" w:rsidRDefault="0058300F">
      <w:pPr>
        <w:rPr>
          <w:rFonts w:ascii="Helvetica" w:hAnsi="Helvetica"/>
          <w:b/>
          <w:noProof/>
          <w:color w:val="000000"/>
          <w:sz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9pt;width:612pt;height:71.3pt;z-index:251659264;mso-position-horizontal:center;mso-position-vertical-relative:page">
            <v:imagedata r:id="rId9" o:title="Letterhead"/>
            <o:lock v:ext="edit" aspectratio="f"/>
            <w10:wrap anchory="page"/>
          </v:shape>
        </w:pict>
      </w:r>
    </w:p>
    <w:p w:rsidR="0065212B" w:rsidRDefault="0065212B" w:rsidP="0065212B">
      <w:pPr>
        <w:spacing w:after="0" w:line="240" w:lineRule="auto"/>
        <w:jc w:val="center"/>
        <w:rPr>
          <w:rFonts w:ascii="Calibri" w:hAnsi="Calibri" w:cs="Calibri"/>
          <w:b/>
          <w:sz w:val="32"/>
          <w:szCs w:val="32"/>
        </w:rPr>
      </w:pPr>
    </w:p>
    <w:p w:rsidR="00051284" w:rsidRDefault="00051284" w:rsidP="0065212B">
      <w:pPr>
        <w:spacing w:after="0" w:line="240" w:lineRule="auto"/>
        <w:jc w:val="center"/>
        <w:rPr>
          <w:rFonts w:ascii="Calibri" w:hAnsi="Calibri" w:cs="Calibri"/>
          <w:b/>
          <w:sz w:val="32"/>
          <w:szCs w:val="32"/>
        </w:rPr>
      </w:pPr>
    </w:p>
    <w:p w:rsidR="0065212B" w:rsidRPr="008E4F54" w:rsidRDefault="0065212B" w:rsidP="0065212B">
      <w:pPr>
        <w:spacing w:after="0" w:line="240" w:lineRule="auto"/>
        <w:jc w:val="center"/>
        <w:rPr>
          <w:rFonts w:ascii="Calibri" w:eastAsia="Times" w:hAnsi="Calibri" w:cs="Calibri"/>
          <w:b/>
          <w:color w:val="0477AE"/>
          <w:sz w:val="40"/>
          <w:szCs w:val="40"/>
        </w:rPr>
      </w:pPr>
      <w:r w:rsidRPr="008E4F54">
        <w:rPr>
          <w:rFonts w:ascii="Calibri" w:eastAsia="Times" w:hAnsi="Calibri" w:cs="Calibri"/>
          <w:b/>
          <w:color w:val="0477AE"/>
          <w:sz w:val="40"/>
          <w:szCs w:val="40"/>
        </w:rPr>
        <w:t>NEXT STEPS TOWARD TAX FAIRNESS:</w:t>
      </w:r>
    </w:p>
    <w:p w:rsidR="0065212B" w:rsidRPr="008E4F54" w:rsidRDefault="0065212B" w:rsidP="0065212B">
      <w:pPr>
        <w:spacing w:after="0" w:line="240" w:lineRule="auto"/>
        <w:jc w:val="center"/>
        <w:rPr>
          <w:rFonts w:ascii="Calibri" w:eastAsia="Times" w:hAnsi="Calibri" w:cs="Calibri"/>
          <w:b/>
          <w:color w:val="0477AE"/>
          <w:sz w:val="32"/>
          <w:szCs w:val="32"/>
        </w:rPr>
      </w:pPr>
      <w:r w:rsidRPr="008E4F54">
        <w:rPr>
          <w:rFonts w:ascii="Calibri" w:eastAsia="Times" w:hAnsi="Calibri" w:cs="Calibri"/>
          <w:b/>
          <w:color w:val="0477AE"/>
          <w:sz w:val="32"/>
          <w:szCs w:val="32"/>
        </w:rPr>
        <w:t>Options for Closing Loopholes for the Richest 2% and Big Corporations</w:t>
      </w:r>
    </w:p>
    <w:p w:rsidR="0065212B" w:rsidRDefault="0065212B" w:rsidP="0065212B">
      <w:pPr>
        <w:spacing w:after="0" w:line="240" w:lineRule="auto"/>
        <w:rPr>
          <w:rFonts w:ascii="Calibri" w:hAnsi="Calibri" w:cs="Calibri"/>
          <w:szCs w:val="24"/>
        </w:rPr>
      </w:pPr>
    </w:p>
    <w:p w:rsidR="00051284" w:rsidRPr="00051284" w:rsidRDefault="00051284" w:rsidP="00051284">
      <w:pPr>
        <w:spacing w:after="0" w:line="240" w:lineRule="auto"/>
        <w:rPr>
          <w:rFonts w:ascii="Calibri" w:eastAsia="Times" w:hAnsi="Calibri" w:cs="Calibri"/>
          <w:sz w:val="24"/>
          <w:szCs w:val="24"/>
        </w:rPr>
      </w:pPr>
      <w:r w:rsidRPr="00051284">
        <w:rPr>
          <w:rFonts w:ascii="Calibri" w:eastAsia="Times" w:hAnsi="Calibri" w:cs="Calibri"/>
          <w:sz w:val="24"/>
          <w:szCs w:val="24"/>
        </w:rPr>
        <w:t>The fiscal-cliff tax deal passed by Congress in early January was only a first step toward ensuring that the richest Americans pay their fair share of taxes. And it did not ask corporations to contribute any new tax revenues to help reduce the deficit or to make new investments to grow the economy.</w:t>
      </w:r>
    </w:p>
    <w:p w:rsidR="00051284" w:rsidRPr="00051284" w:rsidRDefault="00051284" w:rsidP="0065212B">
      <w:pPr>
        <w:spacing w:after="0" w:line="240" w:lineRule="auto"/>
        <w:rPr>
          <w:rFonts w:ascii="Calibri" w:hAnsi="Calibri" w:cs="Calibri"/>
          <w:sz w:val="24"/>
          <w:szCs w:val="24"/>
        </w:rPr>
      </w:pPr>
    </w:p>
    <w:p w:rsidR="0065212B" w:rsidRPr="00051284" w:rsidRDefault="0065212B" w:rsidP="0065212B">
      <w:pPr>
        <w:spacing w:after="0" w:line="240" w:lineRule="auto"/>
        <w:rPr>
          <w:rFonts w:ascii="Calibri" w:hAnsi="Calibri" w:cs="Calibri"/>
          <w:i/>
          <w:sz w:val="24"/>
          <w:szCs w:val="24"/>
        </w:rPr>
      </w:pPr>
      <w:r w:rsidRPr="00051284">
        <w:rPr>
          <w:rFonts w:ascii="Calibri" w:hAnsi="Calibri" w:cs="Calibri"/>
          <w:sz w:val="24"/>
          <w:szCs w:val="24"/>
        </w:rPr>
        <w:t>By closing loopholes and ending tax breaks for powerful special interests, Congress can raise the revenue needed to reduce the deficit, protect vital programs, and make the economy strong again.  A summary of options for doing that is below; a more detailed list follows.</w:t>
      </w:r>
    </w:p>
    <w:p w:rsidR="0065212B" w:rsidRDefault="0065212B" w:rsidP="0065212B">
      <w:pPr>
        <w:spacing w:after="0" w:line="240" w:lineRule="auto"/>
        <w:rPr>
          <w:rFonts w:ascii="Calibri" w:hAnsi="Calibri" w:cs="Calibri"/>
          <w:szCs w:val="24"/>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620"/>
      </w:tblGrid>
      <w:tr w:rsidR="0065212B" w:rsidTr="009E5493">
        <w:trPr>
          <w:trHeight w:val="488"/>
          <w:jc w:val="center"/>
        </w:trPr>
        <w:tc>
          <w:tcPr>
            <w:tcW w:w="8190" w:type="dxa"/>
            <w:gridSpan w:val="2"/>
            <w:shd w:val="clear" w:color="auto" w:fill="auto"/>
            <w:vAlign w:val="center"/>
          </w:tcPr>
          <w:p w:rsidR="0065212B" w:rsidRPr="008E4F54" w:rsidRDefault="0065212B" w:rsidP="00C1293E">
            <w:pPr>
              <w:spacing w:after="0" w:line="240" w:lineRule="auto"/>
              <w:jc w:val="center"/>
              <w:rPr>
                <w:rFonts w:ascii="Arial Narrow" w:eastAsia="Calibri" w:hAnsi="Arial Narrow"/>
                <w:b/>
                <w:sz w:val="28"/>
                <w:szCs w:val="28"/>
              </w:rPr>
            </w:pPr>
            <w:r w:rsidRPr="008E4F54">
              <w:rPr>
                <w:rFonts w:ascii="Arial Narrow" w:eastAsia="Times" w:hAnsi="Arial Narrow" w:cs="Calibri"/>
                <w:b/>
                <w:color w:val="0477AE"/>
                <w:sz w:val="28"/>
                <w:szCs w:val="28"/>
              </w:rPr>
              <w:t>SUMMARY: OPTIONS FOR RAISING TAX REVENUES OVER 10 YEARS</w:t>
            </w:r>
          </w:p>
        </w:tc>
      </w:tr>
      <w:tr w:rsidR="0065212B" w:rsidTr="00C1293E">
        <w:trPr>
          <w:trHeight w:val="432"/>
          <w:jc w:val="center"/>
        </w:trPr>
        <w:tc>
          <w:tcPr>
            <w:tcW w:w="6570" w:type="dxa"/>
            <w:shd w:val="clear" w:color="auto" w:fill="auto"/>
            <w:vAlign w:val="center"/>
          </w:tcPr>
          <w:p w:rsidR="0065212B" w:rsidRPr="00E943D2" w:rsidRDefault="0065212B" w:rsidP="00422AD3">
            <w:pPr>
              <w:pStyle w:val="ListParagraph"/>
              <w:numPr>
                <w:ilvl w:val="0"/>
                <w:numId w:val="22"/>
              </w:numPr>
              <w:spacing w:after="0" w:line="240" w:lineRule="auto"/>
              <w:rPr>
                <w:rFonts w:ascii="Arial Narrow" w:hAnsi="Arial Narrow"/>
                <w:b/>
                <w:sz w:val="20"/>
              </w:rPr>
            </w:pPr>
            <w:r w:rsidRPr="00E943D2">
              <w:rPr>
                <w:rFonts w:ascii="Arial Narrow" w:hAnsi="Arial Narrow"/>
                <w:b/>
                <w:sz w:val="20"/>
              </w:rPr>
              <w:t xml:space="preserve">End </w:t>
            </w:r>
            <w:r w:rsidR="00422AD3">
              <w:rPr>
                <w:rFonts w:ascii="Arial Narrow" w:hAnsi="Arial Narrow"/>
                <w:b/>
                <w:sz w:val="20"/>
              </w:rPr>
              <w:t xml:space="preserve">corporate </w:t>
            </w:r>
            <w:r w:rsidRPr="00E943D2">
              <w:rPr>
                <w:rFonts w:ascii="Arial Narrow" w:hAnsi="Arial Narrow"/>
                <w:b/>
                <w:sz w:val="20"/>
              </w:rPr>
              <w:t xml:space="preserve">tax breaks </w:t>
            </w:r>
            <w:r w:rsidR="00A23AD7">
              <w:rPr>
                <w:rFonts w:ascii="Arial Narrow" w:hAnsi="Arial Narrow"/>
                <w:b/>
                <w:sz w:val="20"/>
              </w:rPr>
              <w:t>for</w:t>
            </w:r>
            <w:r w:rsidRPr="00E943D2">
              <w:rPr>
                <w:rFonts w:ascii="Arial Narrow" w:hAnsi="Arial Narrow"/>
                <w:b/>
                <w:sz w:val="20"/>
              </w:rPr>
              <w:t xml:space="preserve"> shift</w:t>
            </w:r>
            <w:r w:rsidR="00422AD3">
              <w:rPr>
                <w:rFonts w:ascii="Arial Narrow" w:hAnsi="Arial Narrow"/>
                <w:b/>
                <w:sz w:val="20"/>
              </w:rPr>
              <w:t>ing</w:t>
            </w:r>
            <w:r w:rsidRPr="00E943D2">
              <w:rPr>
                <w:rFonts w:ascii="Arial Narrow" w:hAnsi="Arial Narrow"/>
                <w:b/>
                <w:sz w:val="20"/>
              </w:rPr>
              <w:t xml:space="preserve"> jobs and profits offshore</w:t>
            </w:r>
          </w:p>
        </w:tc>
        <w:tc>
          <w:tcPr>
            <w:tcW w:w="1620" w:type="dxa"/>
            <w:shd w:val="clear" w:color="auto" w:fill="auto"/>
            <w:vAlign w:val="center"/>
          </w:tcPr>
          <w:p w:rsidR="0065212B" w:rsidRPr="00FB49A9" w:rsidRDefault="0065212B" w:rsidP="00C1293E">
            <w:pPr>
              <w:spacing w:after="0" w:line="240" w:lineRule="auto"/>
              <w:jc w:val="center"/>
              <w:rPr>
                <w:rFonts w:ascii="Arial Narrow" w:eastAsia="Calibri" w:hAnsi="Arial Narrow"/>
                <w:b/>
                <w:sz w:val="20"/>
                <w:szCs w:val="20"/>
              </w:rPr>
            </w:pPr>
            <w:r w:rsidRPr="00FB49A9">
              <w:rPr>
                <w:rFonts w:ascii="Arial Narrow" w:eastAsia="Times" w:hAnsi="Arial Narrow" w:cs="Calibri"/>
                <w:b/>
                <w:color w:val="0477AE"/>
                <w:sz w:val="20"/>
                <w:szCs w:val="20"/>
              </w:rPr>
              <w:t>$221-$606 billion</w:t>
            </w:r>
          </w:p>
        </w:tc>
      </w:tr>
      <w:tr w:rsidR="0065212B" w:rsidTr="00C1293E">
        <w:trPr>
          <w:trHeight w:val="432"/>
          <w:jc w:val="center"/>
        </w:trPr>
        <w:tc>
          <w:tcPr>
            <w:tcW w:w="6570" w:type="dxa"/>
            <w:shd w:val="clear" w:color="auto" w:fill="auto"/>
            <w:vAlign w:val="center"/>
          </w:tcPr>
          <w:p w:rsidR="0065212B" w:rsidRPr="00E943D2" w:rsidRDefault="0065212B" w:rsidP="00C1293E">
            <w:pPr>
              <w:pStyle w:val="ListParagraph"/>
              <w:numPr>
                <w:ilvl w:val="0"/>
                <w:numId w:val="22"/>
              </w:numPr>
              <w:spacing w:after="0" w:line="240" w:lineRule="auto"/>
              <w:rPr>
                <w:rFonts w:ascii="Arial Narrow" w:hAnsi="Arial Narrow"/>
                <w:b/>
                <w:sz w:val="20"/>
              </w:rPr>
            </w:pPr>
            <w:r w:rsidRPr="00E943D2">
              <w:rPr>
                <w:rFonts w:ascii="Arial Narrow" w:hAnsi="Arial Narrow"/>
                <w:b/>
                <w:sz w:val="20"/>
              </w:rPr>
              <w:t>Close other corporate tax loopholes and tax breaks</w:t>
            </w:r>
          </w:p>
        </w:tc>
        <w:tc>
          <w:tcPr>
            <w:tcW w:w="1620" w:type="dxa"/>
            <w:shd w:val="clear" w:color="auto" w:fill="auto"/>
            <w:vAlign w:val="center"/>
          </w:tcPr>
          <w:p w:rsidR="0065212B" w:rsidRPr="00FB49A9" w:rsidRDefault="0065212B" w:rsidP="00C1293E">
            <w:pPr>
              <w:spacing w:after="0" w:line="240" w:lineRule="auto"/>
              <w:jc w:val="center"/>
              <w:rPr>
                <w:rFonts w:ascii="Arial Narrow" w:eastAsia="Times" w:hAnsi="Arial Narrow" w:cs="Calibri"/>
                <w:b/>
                <w:color w:val="0477AE"/>
                <w:sz w:val="20"/>
                <w:szCs w:val="20"/>
              </w:rPr>
            </w:pPr>
            <w:r w:rsidRPr="00FB49A9">
              <w:rPr>
                <w:rFonts w:ascii="Arial Narrow" w:eastAsia="Times" w:hAnsi="Arial Narrow" w:cs="Calibri"/>
                <w:b/>
                <w:color w:val="0477AE"/>
                <w:sz w:val="20"/>
                <w:szCs w:val="20"/>
              </w:rPr>
              <w:t>$162 billion</w:t>
            </w:r>
          </w:p>
        </w:tc>
      </w:tr>
      <w:tr w:rsidR="0065212B" w:rsidTr="00C1293E">
        <w:trPr>
          <w:trHeight w:val="432"/>
          <w:jc w:val="center"/>
        </w:trPr>
        <w:tc>
          <w:tcPr>
            <w:tcW w:w="6570" w:type="dxa"/>
            <w:shd w:val="clear" w:color="auto" w:fill="auto"/>
            <w:vAlign w:val="center"/>
          </w:tcPr>
          <w:p w:rsidR="0065212B" w:rsidRPr="00E943D2" w:rsidRDefault="0065212B" w:rsidP="007077BD">
            <w:pPr>
              <w:pStyle w:val="ListParagraph"/>
              <w:numPr>
                <w:ilvl w:val="0"/>
                <w:numId w:val="22"/>
              </w:numPr>
              <w:spacing w:after="0" w:line="240" w:lineRule="auto"/>
              <w:rPr>
                <w:rFonts w:ascii="Arial Narrow" w:hAnsi="Arial Narrow"/>
                <w:b/>
                <w:sz w:val="20"/>
              </w:rPr>
            </w:pPr>
            <w:r>
              <w:rPr>
                <w:rFonts w:ascii="Arial Narrow" w:hAnsi="Arial Narrow"/>
                <w:b/>
                <w:sz w:val="20"/>
              </w:rPr>
              <w:t>Place</w:t>
            </w:r>
            <w:r w:rsidRPr="00E943D2">
              <w:rPr>
                <w:rFonts w:ascii="Arial Narrow" w:hAnsi="Arial Narrow"/>
                <w:b/>
                <w:sz w:val="20"/>
              </w:rPr>
              <w:t xml:space="preserve"> a small sales tax on Wall Street trading</w:t>
            </w:r>
          </w:p>
        </w:tc>
        <w:tc>
          <w:tcPr>
            <w:tcW w:w="1620" w:type="dxa"/>
            <w:shd w:val="clear" w:color="auto" w:fill="auto"/>
            <w:vAlign w:val="center"/>
          </w:tcPr>
          <w:p w:rsidR="0065212B" w:rsidRPr="00FB49A9" w:rsidRDefault="0065212B" w:rsidP="002F2092">
            <w:pPr>
              <w:spacing w:after="0" w:line="240" w:lineRule="auto"/>
              <w:jc w:val="center"/>
              <w:rPr>
                <w:rFonts w:ascii="Arial Narrow" w:eastAsia="Times" w:hAnsi="Arial Narrow" w:cs="Calibri"/>
                <w:b/>
                <w:color w:val="0477AE"/>
                <w:sz w:val="20"/>
                <w:szCs w:val="20"/>
              </w:rPr>
            </w:pPr>
            <w:r w:rsidRPr="00FB49A9">
              <w:rPr>
                <w:rFonts w:ascii="Arial Narrow" w:eastAsia="Times" w:hAnsi="Arial Narrow" w:cs="Calibri"/>
                <w:b/>
                <w:color w:val="0477AE"/>
                <w:sz w:val="20"/>
                <w:szCs w:val="20"/>
              </w:rPr>
              <w:t>$35</w:t>
            </w:r>
            <w:r w:rsidR="002F2092">
              <w:rPr>
                <w:rFonts w:ascii="Arial Narrow" w:eastAsia="Times" w:hAnsi="Arial Narrow" w:cs="Calibri"/>
                <w:b/>
                <w:color w:val="0477AE"/>
                <w:sz w:val="20"/>
                <w:szCs w:val="20"/>
              </w:rPr>
              <w:t>3</w:t>
            </w:r>
            <w:r w:rsidRPr="00FB49A9">
              <w:rPr>
                <w:rFonts w:ascii="Arial Narrow" w:eastAsia="Times" w:hAnsi="Arial Narrow" w:cs="Calibri"/>
                <w:b/>
                <w:color w:val="0477AE"/>
                <w:sz w:val="20"/>
                <w:szCs w:val="20"/>
              </w:rPr>
              <w:t xml:space="preserve"> billion</w:t>
            </w:r>
          </w:p>
        </w:tc>
      </w:tr>
      <w:tr w:rsidR="0065212B" w:rsidTr="00C1293E">
        <w:trPr>
          <w:trHeight w:val="432"/>
          <w:jc w:val="center"/>
        </w:trPr>
        <w:tc>
          <w:tcPr>
            <w:tcW w:w="6570" w:type="dxa"/>
            <w:shd w:val="clear" w:color="auto" w:fill="auto"/>
            <w:vAlign w:val="center"/>
          </w:tcPr>
          <w:p w:rsidR="0065212B" w:rsidRPr="00E943D2" w:rsidRDefault="0065212B" w:rsidP="00C1293E">
            <w:pPr>
              <w:pStyle w:val="ListParagraph"/>
              <w:numPr>
                <w:ilvl w:val="0"/>
                <w:numId w:val="22"/>
              </w:numPr>
              <w:spacing w:after="0" w:line="240" w:lineRule="auto"/>
              <w:rPr>
                <w:rFonts w:ascii="Arial Narrow" w:hAnsi="Arial Narrow"/>
                <w:b/>
                <w:sz w:val="20"/>
              </w:rPr>
            </w:pPr>
            <w:r w:rsidRPr="00E943D2">
              <w:rPr>
                <w:rFonts w:ascii="Arial Narrow" w:hAnsi="Arial Narrow"/>
                <w:b/>
                <w:sz w:val="20"/>
              </w:rPr>
              <w:t>Limit tax deductions for the richest 2%</w:t>
            </w:r>
          </w:p>
        </w:tc>
        <w:tc>
          <w:tcPr>
            <w:tcW w:w="1620" w:type="dxa"/>
            <w:shd w:val="clear" w:color="auto" w:fill="auto"/>
            <w:vAlign w:val="center"/>
          </w:tcPr>
          <w:p w:rsidR="0065212B" w:rsidRPr="00FB49A9" w:rsidRDefault="0065212B" w:rsidP="00C1293E">
            <w:pPr>
              <w:spacing w:after="0" w:line="240" w:lineRule="auto"/>
              <w:jc w:val="center"/>
              <w:rPr>
                <w:rFonts w:ascii="Arial Narrow" w:eastAsia="Times" w:hAnsi="Arial Narrow" w:cs="Calibri"/>
                <w:b/>
                <w:color w:val="0477AE"/>
                <w:sz w:val="20"/>
                <w:szCs w:val="20"/>
              </w:rPr>
            </w:pPr>
            <w:r w:rsidRPr="00FB49A9">
              <w:rPr>
                <w:rFonts w:ascii="Arial Narrow" w:eastAsia="Times" w:hAnsi="Arial Narrow" w:cs="Calibri"/>
                <w:b/>
                <w:color w:val="0477AE"/>
                <w:sz w:val="20"/>
                <w:szCs w:val="20"/>
              </w:rPr>
              <w:t>$513 billion</w:t>
            </w:r>
          </w:p>
        </w:tc>
      </w:tr>
      <w:tr w:rsidR="0065212B" w:rsidTr="00C1293E">
        <w:trPr>
          <w:trHeight w:val="432"/>
          <w:jc w:val="center"/>
        </w:trPr>
        <w:tc>
          <w:tcPr>
            <w:tcW w:w="6570" w:type="dxa"/>
            <w:shd w:val="clear" w:color="auto" w:fill="auto"/>
            <w:vAlign w:val="center"/>
          </w:tcPr>
          <w:p w:rsidR="0065212B" w:rsidRPr="008F3B44" w:rsidRDefault="0065212B" w:rsidP="00C1293E">
            <w:pPr>
              <w:spacing w:after="0" w:line="240" w:lineRule="auto"/>
              <w:ind w:left="180" w:hanging="180"/>
              <w:rPr>
                <w:rFonts w:ascii="Arial Narrow" w:eastAsia="Calibri" w:hAnsi="Arial Narrow"/>
                <w:b/>
                <w:sz w:val="20"/>
              </w:rPr>
            </w:pPr>
            <w:r>
              <w:rPr>
                <w:rFonts w:ascii="Arial Narrow" w:eastAsia="Calibri" w:hAnsi="Arial Narrow"/>
                <w:b/>
                <w:sz w:val="20"/>
              </w:rPr>
              <w:t>5.    Close loopholes that allow the very wealthy to shield income from taxation</w:t>
            </w:r>
          </w:p>
        </w:tc>
        <w:tc>
          <w:tcPr>
            <w:tcW w:w="1620" w:type="dxa"/>
            <w:shd w:val="clear" w:color="auto" w:fill="auto"/>
            <w:vAlign w:val="center"/>
          </w:tcPr>
          <w:p w:rsidR="0065212B" w:rsidRPr="00FB49A9" w:rsidRDefault="0065212B" w:rsidP="009779A6">
            <w:pPr>
              <w:spacing w:after="0" w:line="240" w:lineRule="auto"/>
              <w:jc w:val="center"/>
              <w:rPr>
                <w:rFonts w:ascii="Arial Narrow" w:eastAsia="Times" w:hAnsi="Arial Narrow" w:cs="Calibri"/>
                <w:b/>
                <w:color w:val="0477AE"/>
                <w:sz w:val="20"/>
                <w:szCs w:val="20"/>
              </w:rPr>
            </w:pPr>
            <w:r w:rsidRPr="00FB49A9">
              <w:rPr>
                <w:rFonts w:ascii="Arial Narrow" w:eastAsia="Times" w:hAnsi="Arial Narrow" w:cs="Calibri"/>
                <w:b/>
                <w:color w:val="0477AE"/>
                <w:sz w:val="20"/>
                <w:szCs w:val="20"/>
              </w:rPr>
              <w:t>$1</w:t>
            </w:r>
            <w:r w:rsidR="009779A6">
              <w:rPr>
                <w:rFonts w:ascii="Arial Narrow" w:eastAsia="Times" w:hAnsi="Arial Narrow" w:cs="Calibri"/>
                <w:b/>
                <w:color w:val="0477AE"/>
                <w:sz w:val="20"/>
                <w:szCs w:val="20"/>
              </w:rPr>
              <w:t>.5</w:t>
            </w:r>
            <w:r w:rsidRPr="00FB49A9">
              <w:rPr>
                <w:rFonts w:ascii="Arial Narrow" w:eastAsia="Times" w:hAnsi="Arial Narrow" w:cs="Calibri"/>
                <w:b/>
                <w:color w:val="0477AE"/>
                <w:sz w:val="20"/>
                <w:szCs w:val="20"/>
              </w:rPr>
              <w:t>-$1</w:t>
            </w:r>
            <w:r w:rsidR="003225D3">
              <w:rPr>
                <w:rFonts w:ascii="Arial Narrow" w:eastAsia="Times" w:hAnsi="Arial Narrow" w:cs="Calibri"/>
                <w:b/>
                <w:color w:val="0477AE"/>
                <w:sz w:val="20"/>
                <w:szCs w:val="20"/>
              </w:rPr>
              <w:t>.</w:t>
            </w:r>
            <w:r w:rsidR="009779A6">
              <w:rPr>
                <w:rFonts w:ascii="Arial Narrow" w:eastAsia="Times" w:hAnsi="Arial Narrow" w:cs="Calibri"/>
                <w:b/>
                <w:color w:val="0477AE"/>
                <w:sz w:val="20"/>
                <w:szCs w:val="20"/>
              </w:rPr>
              <w:t>7</w:t>
            </w:r>
            <w:r w:rsidRPr="00FB49A9">
              <w:rPr>
                <w:rFonts w:ascii="Arial Narrow" w:eastAsia="Times" w:hAnsi="Arial Narrow" w:cs="Calibri"/>
                <w:b/>
                <w:color w:val="0477AE"/>
                <w:sz w:val="20"/>
                <w:szCs w:val="20"/>
              </w:rPr>
              <w:t xml:space="preserve"> </w:t>
            </w:r>
            <w:r w:rsidR="009779A6">
              <w:rPr>
                <w:rFonts w:ascii="Arial Narrow" w:eastAsia="Times" w:hAnsi="Arial Narrow" w:cs="Calibri"/>
                <w:b/>
                <w:color w:val="0477AE"/>
                <w:sz w:val="20"/>
                <w:szCs w:val="20"/>
              </w:rPr>
              <w:t>tr</w:t>
            </w:r>
            <w:r w:rsidRPr="00FB49A9">
              <w:rPr>
                <w:rFonts w:ascii="Arial Narrow" w:eastAsia="Times" w:hAnsi="Arial Narrow" w:cs="Calibri"/>
                <w:b/>
                <w:color w:val="0477AE"/>
                <w:sz w:val="20"/>
                <w:szCs w:val="20"/>
              </w:rPr>
              <w:t>illion</w:t>
            </w:r>
          </w:p>
        </w:tc>
      </w:tr>
      <w:tr w:rsidR="0065212B" w:rsidTr="00C1293E">
        <w:trPr>
          <w:trHeight w:val="432"/>
          <w:jc w:val="center"/>
        </w:trPr>
        <w:tc>
          <w:tcPr>
            <w:tcW w:w="6570" w:type="dxa"/>
            <w:shd w:val="clear" w:color="auto" w:fill="auto"/>
            <w:vAlign w:val="center"/>
          </w:tcPr>
          <w:p w:rsidR="0065212B" w:rsidRPr="008F3B44" w:rsidRDefault="0065212B" w:rsidP="00C1293E">
            <w:pPr>
              <w:spacing w:after="0" w:line="240" w:lineRule="auto"/>
              <w:ind w:left="180" w:hanging="180"/>
              <w:rPr>
                <w:rFonts w:ascii="Arial Narrow" w:eastAsia="Calibri" w:hAnsi="Arial Narrow"/>
                <w:b/>
                <w:sz w:val="20"/>
              </w:rPr>
            </w:pPr>
            <w:r>
              <w:rPr>
                <w:rFonts w:ascii="Arial Narrow" w:eastAsia="Calibri" w:hAnsi="Arial Narrow"/>
                <w:b/>
                <w:sz w:val="20"/>
              </w:rPr>
              <w:t>6</w:t>
            </w:r>
            <w:r w:rsidRPr="008F3B44">
              <w:rPr>
                <w:rFonts w:ascii="Arial Narrow" w:eastAsia="Calibri" w:hAnsi="Arial Narrow"/>
                <w:b/>
                <w:sz w:val="20"/>
              </w:rPr>
              <w:t xml:space="preserve">. </w:t>
            </w:r>
            <w:r>
              <w:rPr>
                <w:rFonts w:ascii="Arial Narrow" w:eastAsia="Calibri" w:hAnsi="Arial Narrow"/>
                <w:b/>
                <w:sz w:val="20"/>
              </w:rPr>
              <w:t xml:space="preserve">   Place a 5%-5.6% surtax on the incomes of millionaires or multimillionaires</w:t>
            </w:r>
          </w:p>
        </w:tc>
        <w:tc>
          <w:tcPr>
            <w:tcW w:w="1620" w:type="dxa"/>
            <w:shd w:val="clear" w:color="auto" w:fill="auto"/>
            <w:vAlign w:val="center"/>
          </w:tcPr>
          <w:p w:rsidR="0065212B" w:rsidRPr="00FB49A9" w:rsidRDefault="0065212B" w:rsidP="00C1293E">
            <w:pPr>
              <w:spacing w:after="0" w:line="240" w:lineRule="auto"/>
              <w:jc w:val="center"/>
              <w:rPr>
                <w:rFonts w:ascii="Arial Narrow" w:eastAsia="Times" w:hAnsi="Arial Narrow" w:cs="Calibri"/>
                <w:b/>
                <w:color w:val="0477AE"/>
                <w:sz w:val="20"/>
                <w:szCs w:val="20"/>
              </w:rPr>
            </w:pPr>
            <w:r w:rsidRPr="00FB49A9">
              <w:rPr>
                <w:rFonts w:ascii="Arial Narrow" w:eastAsia="Times" w:hAnsi="Arial Narrow" w:cs="Calibri"/>
                <w:b/>
                <w:color w:val="0477AE"/>
                <w:sz w:val="20"/>
                <w:szCs w:val="20"/>
              </w:rPr>
              <w:t>$107-$453 billion</w:t>
            </w:r>
          </w:p>
        </w:tc>
      </w:tr>
    </w:tbl>
    <w:p w:rsidR="0065212B" w:rsidRDefault="0065212B" w:rsidP="0065212B">
      <w:pPr>
        <w:spacing w:after="0" w:line="240" w:lineRule="auto"/>
        <w:ind w:left="630" w:right="540"/>
        <w:rPr>
          <w:rFonts w:ascii="Calibri" w:hAnsi="Calibri" w:cs="Calibri"/>
          <w:i/>
          <w:sz w:val="20"/>
        </w:rPr>
      </w:pPr>
    </w:p>
    <w:p w:rsidR="0065212B" w:rsidRPr="00260F25" w:rsidRDefault="0065212B" w:rsidP="0065212B">
      <w:pPr>
        <w:spacing w:after="0" w:line="240" w:lineRule="auto"/>
        <w:ind w:left="630" w:right="540"/>
        <w:rPr>
          <w:rFonts w:ascii="Calibri" w:hAnsi="Calibri" w:cs="Calibri"/>
          <w:b/>
          <w:sz w:val="20"/>
        </w:rPr>
      </w:pPr>
      <w:r w:rsidRPr="00260F25">
        <w:rPr>
          <w:rFonts w:ascii="Calibri" w:hAnsi="Calibri" w:cs="Calibri"/>
          <w:i/>
          <w:sz w:val="20"/>
        </w:rPr>
        <w:t xml:space="preserve">Note that </w:t>
      </w:r>
      <w:r>
        <w:rPr>
          <w:rFonts w:ascii="Calibri" w:hAnsi="Calibri" w:cs="Calibri"/>
          <w:i/>
          <w:sz w:val="20"/>
        </w:rPr>
        <w:t xml:space="preserve">not </w:t>
      </w:r>
      <w:r w:rsidRPr="00260F25">
        <w:rPr>
          <w:rFonts w:ascii="Calibri" w:hAnsi="Calibri" w:cs="Calibri"/>
          <w:i/>
          <w:sz w:val="20"/>
        </w:rPr>
        <w:t>all of the more than 2</w:t>
      </w:r>
      <w:r>
        <w:rPr>
          <w:rFonts w:ascii="Calibri" w:hAnsi="Calibri" w:cs="Calibri"/>
          <w:i/>
          <w:sz w:val="20"/>
        </w:rPr>
        <w:t>75</w:t>
      </w:r>
      <w:r w:rsidRPr="00260F25">
        <w:rPr>
          <w:rFonts w:ascii="Calibri" w:hAnsi="Calibri" w:cs="Calibri"/>
          <w:i/>
          <w:sz w:val="20"/>
        </w:rPr>
        <w:t xml:space="preserve"> organizations that make up Americans for Tax Fairness necessarily endorse </w:t>
      </w:r>
      <w:r>
        <w:rPr>
          <w:rFonts w:ascii="Calibri" w:hAnsi="Calibri" w:cs="Calibri"/>
          <w:i/>
          <w:sz w:val="20"/>
        </w:rPr>
        <w:t xml:space="preserve">all </w:t>
      </w:r>
      <w:r w:rsidRPr="00260F25">
        <w:rPr>
          <w:rFonts w:ascii="Calibri" w:hAnsi="Calibri" w:cs="Calibri"/>
          <w:i/>
          <w:sz w:val="20"/>
        </w:rPr>
        <w:t>of these options. However, they agree that the first priority of Congress should be to create a more fair tax system, rather than reducing the deficit on the backs of the middle class and the poor – and that there are multiple ways of advancing that goal.</w:t>
      </w:r>
    </w:p>
    <w:p w:rsidR="0065212B" w:rsidRDefault="0065212B" w:rsidP="0065212B">
      <w:pPr>
        <w:spacing w:after="0" w:line="240" w:lineRule="auto"/>
        <w:rPr>
          <w:rFonts w:ascii="Calibri" w:hAnsi="Calibri" w:cs="Calibri"/>
          <w:szCs w:val="24"/>
        </w:rPr>
      </w:pPr>
    </w:p>
    <w:p w:rsidR="0065212B" w:rsidRPr="00051284" w:rsidRDefault="0065212B" w:rsidP="0065212B">
      <w:pPr>
        <w:spacing w:after="0" w:line="240" w:lineRule="auto"/>
        <w:rPr>
          <w:rFonts w:ascii="Calibri" w:hAnsi="Calibri" w:cs="Calibri"/>
          <w:sz w:val="24"/>
          <w:szCs w:val="24"/>
        </w:rPr>
      </w:pPr>
      <w:r w:rsidRPr="00051284">
        <w:rPr>
          <w:rFonts w:ascii="Calibri" w:hAnsi="Calibri" w:cs="Calibri"/>
          <w:sz w:val="24"/>
          <w:szCs w:val="24"/>
        </w:rPr>
        <w:t>The fiscal-cliff tax deal passed by Congress in early January was only a first step toward ensuring that the richest Americans pay their fair share of taxes. And it did not ask corporations to contribute a dime to help reduce the deficit or to make new investments to grow the economy.</w:t>
      </w:r>
    </w:p>
    <w:p w:rsidR="0065212B" w:rsidRPr="00051284" w:rsidRDefault="0065212B" w:rsidP="0065212B">
      <w:pPr>
        <w:spacing w:after="0" w:line="240" w:lineRule="auto"/>
        <w:rPr>
          <w:rFonts w:ascii="Calibri" w:hAnsi="Calibri" w:cs="Calibri"/>
          <w:sz w:val="24"/>
          <w:szCs w:val="24"/>
        </w:rPr>
      </w:pPr>
    </w:p>
    <w:p w:rsidR="0065212B" w:rsidRPr="00051284" w:rsidRDefault="0065212B" w:rsidP="0065212B">
      <w:pPr>
        <w:spacing w:after="0" w:line="240" w:lineRule="auto"/>
        <w:rPr>
          <w:rFonts w:ascii="Calibri" w:hAnsi="Calibri" w:cs="Calibri"/>
          <w:sz w:val="24"/>
          <w:szCs w:val="24"/>
        </w:rPr>
      </w:pPr>
      <w:r w:rsidRPr="00051284">
        <w:rPr>
          <w:rFonts w:ascii="Calibri" w:hAnsi="Calibri" w:cs="Calibri"/>
          <w:sz w:val="24"/>
          <w:szCs w:val="24"/>
        </w:rPr>
        <w:t xml:space="preserve">The middle class and the poor are still bearing most of the burden when it comes to reducing the deficit:  </w:t>
      </w:r>
      <w:r w:rsidR="005D2268">
        <w:rPr>
          <w:rFonts w:ascii="Calibri" w:hAnsi="Calibri" w:cs="Calibri"/>
          <w:sz w:val="24"/>
          <w:szCs w:val="24"/>
        </w:rPr>
        <w:t>i</w:t>
      </w:r>
      <w:r w:rsidRPr="00051284">
        <w:rPr>
          <w:rFonts w:ascii="Calibri" w:hAnsi="Calibri" w:cs="Calibri"/>
          <w:sz w:val="24"/>
          <w:szCs w:val="24"/>
        </w:rPr>
        <w:t>n federal budget agreements so far, there has been $1.5 trillion in program cuts and just $600 billion in new tax revenues.</w:t>
      </w:r>
      <w:r w:rsidRPr="00051284">
        <w:rPr>
          <w:rStyle w:val="EndnoteReference"/>
          <w:sz w:val="24"/>
          <w:szCs w:val="24"/>
        </w:rPr>
        <w:endnoteReference w:id="1"/>
      </w:r>
      <w:r w:rsidRPr="00051284">
        <w:rPr>
          <w:rFonts w:ascii="Calibri" w:hAnsi="Calibri" w:cs="Calibri"/>
          <w:sz w:val="24"/>
          <w:szCs w:val="24"/>
        </w:rPr>
        <w:t xml:space="preserve"> That means for every $2.50 in cuts there has been just $1 in new revenue. Because of the fiscal-cliff tax deal, some rich Americans will have to pay a little more in taxes – but many loopholes and tax breaks that benefit corporations and the wealthy went untouched. </w:t>
      </w:r>
    </w:p>
    <w:p w:rsidR="0065212B" w:rsidRPr="00051284" w:rsidRDefault="0065212B" w:rsidP="0065212B">
      <w:pPr>
        <w:spacing w:after="0" w:line="240" w:lineRule="auto"/>
        <w:rPr>
          <w:rFonts w:ascii="Calibri" w:hAnsi="Calibri" w:cs="Calibri"/>
          <w:sz w:val="24"/>
          <w:szCs w:val="24"/>
        </w:rPr>
      </w:pPr>
    </w:p>
    <w:p w:rsidR="0065212B" w:rsidRPr="00051284" w:rsidRDefault="0065212B" w:rsidP="0065212B">
      <w:pPr>
        <w:spacing w:after="0" w:line="240" w:lineRule="auto"/>
        <w:rPr>
          <w:rFonts w:ascii="Calibri" w:hAnsi="Calibri" w:cs="Calibri"/>
          <w:sz w:val="24"/>
          <w:szCs w:val="24"/>
        </w:rPr>
      </w:pPr>
      <w:r w:rsidRPr="00051284">
        <w:rPr>
          <w:rFonts w:ascii="Calibri" w:hAnsi="Calibri" w:cs="Calibri"/>
          <w:sz w:val="24"/>
          <w:szCs w:val="24"/>
        </w:rPr>
        <w:t xml:space="preserve">A recent </w:t>
      </w:r>
      <w:hyperlink r:id="rId10" w:history="1">
        <w:r w:rsidRPr="00051284">
          <w:rPr>
            <w:rStyle w:val="Hyperlink"/>
            <w:rFonts w:ascii="Calibri" w:hAnsi="Calibri" w:cs="Calibri"/>
            <w:sz w:val="24"/>
            <w:szCs w:val="24"/>
          </w:rPr>
          <w:t>poll by Hart Research</w:t>
        </w:r>
      </w:hyperlink>
      <w:r w:rsidRPr="00051284">
        <w:rPr>
          <w:rFonts w:ascii="Calibri" w:hAnsi="Calibri" w:cs="Calibri"/>
          <w:sz w:val="24"/>
          <w:szCs w:val="24"/>
        </w:rPr>
        <w:t xml:space="preserve"> shows that Americans agree: Congress should require the richest 2 percent to pay more in taxes and close corporate tax loopholes, rather than cut Social Security, Medicare and Medicaid benefits, education and other vital programs.</w:t>
      </w:r>
      <w:r w:rsidRPr="00051284">
        <w:rPr>
          <w:rStyle w:val="EndnoteReference"/>
          <w:sz w:val="24"/>
          <w:szCs w:val="24"/>
        </w:rPr>
        <w:endnoteReference w:id="2"/>
      </w:r>
      <w:r w:rsidRPr="00051284">
        <w:rPr>
          <w:rFonts w:ascii="Calibri" w:hAnsi="Calibri" w:cs="Calibri"/>
          <w:sz w:val="24"/>
          <w:szCs w:val="24"/>
        </w:rPr>
        <w:t xml:space="preserve"> </w:t>
      </w:r>
    </w:p>
    <w:p w:rsidR="0065212B" w:rsidRDefault="0065212B" w:rsidP="0065212B">
      <w:pPr>
        <w:spacing w:after="0" w:line="240" w:lineRule="auto"/>
        <w:rPr>
          <w:rFonts w:ascii="Calibri" w:hAnsi="Calibri" w:cs="Calibri"/>
          <w:szCs w:val="24"/>
        </w:rPr>
      </w:pPr>
    </w:p>
    <w:p w:rsidR="0065212B" w:rsidRDefault="00363BCC" w:rsidP="009E5493">
      <w:pPr>
        <w:jc w:val="center"/>
        <w:rPr>
          <w:noProof/>
        </w:rPr>
      </w:pPr>
      <w:r>
        <w:rPr>
          <w:noProof/>
        </w:rPr>
        <w:pict>
          <v:shape id="Picture 6" o:spid="_x0000_i1025" type="#_x0000_t75" style="width:226.5pt;height:44pt;visibility:visible">
            <v:imagedata r:id="rId11" o:title=""/>
          </v:shape>
        </w:pic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350"/>
      </w:tblGrid>
      <w:tr w:rsidR="0065212B" w:rsidRPr="003153C6" w:rsidTr="009E5493">
        <w:tc>
          <w:tcPr>
            <w:tcW w:w="8550" w:type="dxa"/>
            <w:shd w:val="clear" w:color="auto" w:fill="auto"/>
            <w:vAlign w:val="center"/>
          </w:tcPr>
          <w:p w:rsidR="0065212B" w:rsidRPr="00FC1D6F" w:rsidRDefault="0065212B" w:rsidP="0065212B">
            <w:pPr>
              <w:spacing w:after="0" w:line="240" w:lineRule="auto"/>
              <w:jc w:val="center"/>
              <w:rPr>
                <w:rFonts w:ascii="Arial Narrow" w:eastAsia="Calibri" w:hAnsi="Arial Narrow"/>
                <w:b/>
                <w:szCs w:val="24"/>
              </w:rPr>
            </w:pPr>
            <w:r w:rsidRPr="008E4F54">
              <w:rPr>
                <w:rFonts w:ascii="Arial Narrow" w:eastAsia="Times" w:hAnsi="Arial Narrow" w:cs="Calibri"/>
                <w:b/>
                <w:color w:val="0477AE"/>
                <w:sz w:val="28"/>
                <w:szCs w:val="28"/>
              </w:rPr>
              <w:t>DETAILED OPTIONS FOR RAISING TAX REVENUES OVER 10 YEARS</w:t>
            </w:r>
          </w:p>
        </w:tc>
        <w:tc>
          <w:tcPr>
            <w:tcW w:w="1350" w:type="dxa"/>
            <w:shd w:val="clear" w:color="auto" w:fill="auto"/>
            <w:vAlign w:val="center"/>
          </w:tcPr>
          <w:p w:rsidR="0065212B" w:rsidRPr="008E4F54" w:rsidRDefault="0065212B" w:rsidP="0065212B">
            <w:pPr>
              <w:spacing w:after="0" w:line="240" w:lineRule="auto"/>
              <w:jc w:val="center"/>
              <w:rPr>
                <w:rFonts w:ascii="Arial Narrow" w:eastAsia="Times" w:hAnsi="Arial Narrow" w:cs="Calibri"/>
                <w:b/>
                <w:color w:val="0477AE"/>
                <w:sz w:val="20"/>
                <w:szCs w:val="20"/>
              </w:rPr>
            </w:pPr>
            <w:r w:rsidRPr="008E4F54">
              <w:rPr>
                <w:rFonts w:ascii="Arial Narrow" w:eastAsia="Times" w:hAnsi="Arial Narrow" w:cs="Calibri"/>
                <w:b/>
                <w:color w:val="0477AE"/>
                <w:sz w:val="20"/>
                <w:szCs w:val="20"/>
              </w:rPr>
              <w:t>Savings</w:t>
            </w:r>
          </w:p>
          <w:p w:rsidR="0065212B" w:rsidRPr="008E4F54" w:rsidRDefault="0065212B" w:rsidP="0065212B">
            <w:pPr>
              <w:spacing w:after="0" w:line="240" w:lineRule="auto"/>
              <w:jc w:val="center"/>
              <w:rPr>
                <w:rFonts w:ascii="Arial Narrow" w:eastAsia="Times" w:hAnsi="Arial Narrow" w:cs="Calibri"/>
                <w:b/>
                <w:color w:val="0477AE"/>
                <w:sz w:val="20"/>
                <w:szCs w:val="20"/>
              </w:rPr>
            </w:pPr>
            <w:r w:rsidRPr="008E4F54">
              <w:rPr>
                <w:rFonts w:ascii="Arial Narrow" w:eastAsia="Times" w:hAnsi="Arial Narrow" w:cs="Calibri"/>
                <w:b/>
                <w:color w:val="0477AE"/>
                <w:sz w:val="20"/>
                <w:szCs w:val="20"/>
              </w:rPr>
              <w:t>($ billions over 10 years)</w:t>
            </w:r>
          </w:p>
        </w:tc>
      </w:tr>
      <w:tr w:rsidR="0065212B" w:rsidRPr="003153C6" w:rsidTr="00DF3956">
        <w:tc>
          <w:tcPr>
            <w:tcW w:w="8550" w:type="dxa"/>
            <w:shd w:val="clear" w:color="auto" w:fill="auto"/>
          </w:tcPr>
          <w:p w:rsidR="0065212B" w:rsidRPr="00DF3956" w:rsidRDefault="0065212B" w:rsidP="008E4F54">
            <w:pPr>
              <w:spacing w:after="0" w:line="240" w:lineRule="auto"/>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 xml:space="preserve">End </w:t>
            </w:r>
            <w:r w:rsidR="00A23AD7">
              <w:rPr>
                <w:rFonts w:ascii="Arial Narrow" w:eastAsia="Times" w:hAnsi="Arial Narrow" w:cs="Calibri"/>
                <w:b/>
                <w:color w:val="0477AE"/>
                <w:sz w:val="24"/>
                <w:szCs w:val="24"/>
              </w:rPr>
              <w:t xml:space="preserve">corporate </w:t>
            </w:r>
            <w:r w:rsidRPr="00DF3956">
              <w:rPr>
                <w:rFonts w:ascii="Arial Narrow" w:eastAsia="Times" w:hAnsi="Arial Narrow" w:cs="Calibri"/>
                <w:b/>
                <w:color w:val="0477AE"/>
                <w:sz w:val="24"/>
                <w:szCs w:val="24"/>
              </w:rPr>
              <w:t>tax breaks for shifting jobs and profits offshore</w:t>
            </w:r>
          </w:p>
          <w:p w:rsidR="0065212B" w:rsidRPr="00FC1D6F" w:rsidRDefault="0065212B" w:rsidP="0065212B">
            <w:pPr>
              <w:pStyle w:val="ListParagraph"/>
              <w:numPr>
                <w:ilvl w:val="0"/>
                <w:numId w:val="8"/>
              </w:numPr>
              <w:spacing w:after="0" w:line="240" w:lineRule="auto"/>
              <w:rPr>
                <w:rFonts w:ascii="Arial Narrow" w:hAnsi="Arial Narrow" w:cs="Calibri"/>
                <w:b/>
                <w:sz w:val="20"/>
                <w:szCs w:val="20"/>
              </w:rPr>
            </w:pPr>
            <w:r w:rsidRPr="00FC1D6F">
              <w:rPr>
                <w:rFonts w:ascii="Arial Narrow" w:hAnsi="Arial Narrow" w:cs="Calibri"/>
                <w:b/>
                <w:sz w:val="20"/>
                <w:szCs w:val="20"/>
              </w:rPr>
              <w:t>End the ability of U.S. corporations to delay paying taxes on foreign profits by repealing “deferral.</w:t>
            </w:r>
            <w:r w:rsidRPr="00FC1D6F">
              <w:rPr>
                <w:rFonts w:ascii="Arial Narrow" w:hAnsi="Arial Narrow" w:cs="Calibri"/>
                <w:sz w:val="20"/>
                <w:szCs w:val="20"/>
              </w:rPr>
              <w:t xml:space="preserve"> Deferral allows corporations to delay paying taxes on the profits from their overseas subsidiaries until those profits are repatriated back to the U.S. This would tax profits made overseas the same as profits made in the U.S., with a credit for foreign taxes paid [Savings: $606 billion; Joint Committee on Taxation (JCT) estimate updated by </w:t>
            </w:r>
            <w:r w:rsidR="009779A6">
              <w:rPr>
                <w:rFonts w:ascii="Arial Narrow" w:hAnsi="Arial Narrow" w:cs="Calibri"/>
                <w:sz w:val="20"/>
                <w:szCs w:val="20"/>
              </w:rPr>
              <w:t>Citizens for Tax Justice (CTJ)]</w:t>
            </w:r>
          </w:p>
          <w:p w:rsidR="0065212B" w:rsidRPr="00FC1D6F" w:rsidRDefault="0065212B" w:rsidP="0065212B">
            <w:pPr>
              <w:pStyle w:val="ListParagraph"/>
              <w:numPr>
                <w:ilvl w:val="0"/>
                <w:numId w:val="8"/>
              </w:numPr>
              <w:spacing w:after="0" w:line="240" w:lineRule="auto"/>
              <w:rPr>
                <w:rFonts w:ascii="Arial Narrow" w:hAnsi="Arial Narrow" w:cs="Calibri"/>
                <w:b/>
                <w:sz w:val="20"/>
                <w:szCs w:val="20"/>
              </w:rPr>
            </w:pPr>
            <w:r w:rsidRPr="00FC1D6F">
              <w:rPr>
                <w:rFonts w:ascii="Arial Narrow" w:hAnsi="Arial Narrow" w:cs="Calibri"/>
                <w:b/>
                <w:sz w:val="20"/>
                <w:szCs w:val="20"/>
              </w:rPr>
              <w:t xml:space="preserve">Close various international tax loopholes </w:t>
            </w:r>
          </w:p>
          <w:p w:rsidR="0065212B" w:rsidRPr="00FC1D6F" w:rsidRDefault="0065212B" w:rsidP="0065212B">
            <w:pPr>
              <w:pStyle w:val="ListParagraph"/>
              <w:numPr>
                <w:ilvl w:val="0"/>
                <w:numId w:val="9"/>
              </w:numPr>
              <w:spacing w:after="0" w:line="240" w:lineRule="auto"/>
              <w:ind w:left="720"/>
              <w:rPr>
                <w:rFonts w:ascii="Arial Narrow" w:hAnsi="Arial Narrow" w:cs="Calibri"/>
                <w:b/>
                <w:sz w:val="20"/>
                <w:szCs w:val="20"/>
              </w:rPr>
            </w:pPr>
            <w:r w:rsidRPr="00FC1D6F">
              <w:rPr>
                <w:rFonts w:ascii="Arial Narrow" w:hAnsi="Arial Narrow" w:cs="Calibri"/>
                <w:sz w:val="20"/>
                <w:szCs w:val="20"/>
              </w:rPr>
              <w:t>End companies taking immediate deductions against their U.S. taxes for interest expenses associated with offshore operations [$65 billion; JCT/CTJ]</w:t>
            </w:r>
          </w:p>
          <w:p w:rsidR="0065212B" w:rsidRPr="00FC1D6F" w:rsidRDefault="0065212B" w:rsidP="0065212B">
            <w:pPr>
              <w:pStyle w:val="ListParagraph"/>
              <w:numPr>
                <w:ilvl w:val="0"/>
                <w:numId w:val="9"/>
              </w:numPr>
              <w:spacing w:after="0" w:line="240" w:lineRule="auto"/>
              <w:ind w:left="720"/>
              <w:rPr>
                <w:rFonts w:ascii="Arial Narrow" w:hAnsi="Arial Narrow" w:cs="Calibri"/>
                <w:b/>
                <w:sz w:val="20"/>
                <w:szCs w:val="20"/>
              </w:rPr>
            </w:pPr>
            <w:r w:rsidRPr="00FC1D6F">
              <w:rPr>
                <w:rFonts w:ascii="Arial Narrow" w:hAnsi="Arial Narrow" w:cs="Calibri"/>
                <w:sz w:val="20"/>
                <w:szCs w:val="20"/>
              </w:rPr>
              <w:t>Make sure the foreign tax credit, which prevents double taxation, does not exceed the amount necessary to achieve that goal [$60 billion; JCT/CTJ]</w:t>
            </w:r>
          </w:p>
          <w:p w:rsidR="0065212B" w:rsidRPr="00FC1D6F" w:rsidRDefault="0065212B" w:rsidP="0065212B">
            <w:pPr>
              <w:pStyle w:val="ListParagraph"/>
              <w:numPr>
                <w:ilvl w:val="0"/>
                <w:numId w:val="9"/>
              </w:numPr>
              <w:spacing w:after="0" w:line="240" w:lineRule="auto"/>
              <w:ind w:left="720"/>
              <w:rPr>
                <w:rFonts w:ascii="Arial Narrow" w:hAnsi="Arial Narrow" w:cs="Calibri"/>
                <w:b/>
                <w:sz w:val="20"/>
                <w:szCs w:val="20"/>
              </w:rPr>
            </w:pPr>
            <w:r w:rsidRPr="00FC1D6F">
              <w:rPr>
                <w:rFonts w:ascii="Arial Narrow" w:hAnsi="Arial Narrow" w:cs="Calibri"/>
                <w:sz w:val="20"/>
                <w:szCs w:val="20"/>
              </w:rPr>
              <w:t>Reduce abuses that shift patents and other intangible property to tax havens [$21 billion; JCT/CTJ]</w:t>
            </w:r>
          </w:p>
          <w:p w:rsidR="0065212B" w:rsidRPr="00FC1D6F" w:rsidRDefault="0065212B" w:rsidP="0065212B">
            <w:pPr>
              <w:pStyle w:val="ListParagraph"/>
              <w:numPr>
                <w:ilvl w:val="0"/>
                <w:numId w:val="9"/>
              </w:numPr>
              <w:spacing w:after="0" w:line="240" w:lineRule="auto"/>
              <w:ind w:left="720"/>
              <w:rPr>
                <w:rFonts w:ascii="Arial Narrow" w:hAnsi="Arial Narrow" w:cs="Calibri"/>
                <w:b/>
                <w:sz w:val="20"/>
                <w:szCs w:val="20"/>
              </w:rPr>
            </w:pPr>
            <w:r w:rsidRPr="00FC1D6F">
              <w:rPr>
                <w:rFonts w:ascii="Arial Narrow" w:hAnsi="Arial Narrow" w:cs="Calibri"/>
                <w:sz w:val="20"/>
                <w:szCs w:val="20"/>
              </w:rPr>
              <w:t>Eliminate or reform “check-the-box” rules that make it easy for corporations to move profits to overseas tax havens [$41 billion; JCT/CTJ]</w:t>
            </w:r>
            <w:r w:rsidR="006B4430">
              <w:rPr>
                <w:rFonts w:ascii="Arial Narrow" w:hAnsi="Arial Narrow" w:cs="Calibri"/>
                <w:sz w:val="20"/>
                <w:szCs w:val="20"/>
              </w:rPr>
              <w:t xml:space="preserve">  </w:t>
            </w:r>
          </w:p>
        </w:tc>
        <w:tc>
          <w:tcPr>
            <w:tcW w:w="1350" w:type="dxa"/>
            <w:shd w:val="clear" w:color="auto" w:fill="auto"/>
            <w:vAlign w:val="center"/>
          </w:tcPr>
          <w:p w:rsidR="0065212B" w:rsidRPr="00DF3956" w:rsidRDefault="0065212B" w:rsidP="00DF3956">
            <w:pPr>
              <w:spacing w:after="0" w:line="240" w:lineRule="auto"/>
              <w:jc w:val="center"/>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$221-$606</w:t>
            </w:r>
          </w:p>
        </w:tc>
      </w:tr>
      <w:tr w:rsidR="0065212B" w:rsidRPr="003153C6" w:rsidTr="00DF3956">
        <w:tc>
          <w:tcPr>
            <w:tcW w:w="8550" w:type="dxa"/>
            <w:shd w:val="clear" w:color="auto" w:fill="auto"/>
          </w:tcPr>
          <w:p w:rsidR="0065212B" w:rsidRPr="00DF3956" w:rsidRDefault="0065212B" w:rsidP="0065212B">
            <w:pPr>
              <w:spacing w:after="0" w:line="240" w:lineRule="auto"/>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Close other corporate tax loopholes and tax breaks</w:t>
            </w:r>
          </w:p>
          <w:p w:rsidR="0065212B" w:rsidRPr="00FC1D6F" w:rsidRDefault="0065212B" w:rsidP="0065212B">
            <w:pPr>
              <w:numPr>
                <w:ilvl w:val="0"/>
                <w:numId w:val="23"/>
              </w:numPr>
              <w:spacing w:after="0" w:line="240" w:lineRule="auto"/>
              <w:rPr>
                <w:rFonts w:ascii="Arial Narrow" w:eastAsia="Calibri" w:hAnsi="Arial Narrow"/>
                <w:b/>
                <w:sz w:val="20"/>
              </w:rPr>
            </w:pPr>
            <w:r w:rsidRPr="00FC1D6F">
              <w:rPr>
                <w:rFonts w:ascii="Arial Narrow" w:eastAsia="Calibri" w:hAnsi="Arial Narrow"/>
                <w:sz w:val="20"/>
              </w:rPr>
              <w:t xml:space="preserve">End </w:t>
            </w:r>
            <w:r w:rsidR="00422AD3">
              <w:rPr>
                <w:rFonts w:ascii="Arial Narrow" w:eastAsia="Calibri" w:hAnsi="Arial Narrow"/>
                <w:sz w:val="20"/>
              </w:rPr>
              <w:t>abuses of</w:t>
            </w:r>
            <w:r w:rsidRPr="00FC1D6F">
              <w:rPr>
                <w:rFonts w:ascii="Arial Narrow" w:eastAsia="Calibri" w:hAnsi="Arial Narrow"/>
                <w:sz w:val="20"/>
              </w:rPr>
              <w:t xml:space="preserve"> inventory</w:t>
            </w:r>
            <w:r w:rsidR="00422AD3">
              <w:rPr>
                <w:rFonts w:ascii="Arial Narrow" w:eastAsia="Calibri" w:hAnsi="Arial Narrow"/>
                <w:sz w:val="20"/>
              </w:rPr>
              <w:t xml:space="preserve"> accounting (Repeal</w:t>
            </w:r>
            <w:r w:rsidRPr="00FC1D6F">
              <w:rPr>
                <w:rFonts w:ascii="Arial Narrow" w:eastAsia="Calibri" w:hAnsi="Arial Narrow"/>
                <w:sz w:val="20"/>
              </w:rPr>
              <w:t xml:space="preserve"> “Last In, First Out” </w:t>
            </w:r>
            <w:r w:rsidR="00422AD3">
              <w:rPr>
                <w:rFonts w:ascii="Arial Narrow" w:eastAsia="Calibri" w:hAnsi="Arial Narrow"/>
                <w:sz w:val="20"/>
              </w:rPr>
              <w:t>(</w:t>
            </w:r>
            <w:r w:rsidRPr="00FC1D6F">
              <w:rPr>
                <w:rFonts w:ascii="Arial Narrow" w:eastAsia="Calibri" w:hAnsi="Arial Narrow"/>
                <w:sz w:val="20"/>
              </w:rPr>
              <w:t>LIFO</w:t>
            </w:r>
            <w:r w:rsidR="00422AD3">
              <w:rPr>
                <w:rFonts w:ascii="Arial Narrow" w:eastAsia="Calibri" w:hAnsi="Arial Narrow"/>
                <w:sz w:val="20"/>
              </w:rPr>
              <w:t xml:space="preserve">) and “Lower </w:t>
            </w:r>
            <w:r w:rsidR="006E33F3">
              <w:rPr>
                <w:rFonts w:ascii="Arial Narrow" w:eastAsia="Calibri" w:hAnsi="Arial Narrow"/>
                <w:sz w:val="20"/>
              </w:rPr>
              <w:t xml:space="preserve">of </w:t>
            </w:r>
            <w:r w:rsidR="00422AD3">
              <w:rPr>
                <w:rFonts w:ascii="Arial Narrow" w:eastAsia="Calibri" w:hAnsi="Arial Narrow"/>
                <w:sz w:val="20"/>
              </w:rPr>
              <w:t>Cost or Market” (LCM) rules)</w:t>
            </w:r>
            <w:r w:rsidRPr="00FC1D6F">
              <w:rPr>
                <w:rFonts w:ascii="Arial Narrow" w:eastAsia="Calibri" w:hAnsi="Arial Narrow"/>
                <w:sz w:val="20"/>
              </w:rPr>
              <w:t xml:space="preserve"> [$70 billion; JCT]</w:t>
            </w:r>
          </w:p>
          <w:p w:rsidR="0065212B" w:rsidRPr="00FC1D6F" w:rsidRDefault="0065212B" w:rsidP="0065212B">
            <w:pPr>
              <w:numPr>
                <w:ilvl w:val="0"/>
                <w:numId w:val="23"/>
              </w:numPr>
              <w:spacing w:after="0" w:line="240" w:lineRule="auto"/>
              <w:rPr>
                <w:rFonts w:ascii="Arial Narrow" w:eastAsia="Calibri" w:hAnsi="Arial Narrow"/>
                <w:b/>
                <w:sz w:val="20"/>
              </w:rPr>
            </w:pPr>
            <w:r w:rsidRPr="00FC1D6F">
              <w:rPr>
                <w:rFonts w:ascii="Arial Narrow" w:eastAsia="Calibri" w:hAnsi="Arial Narrow"/>
                <w:sz w:val="20"/>
              </w:rPr>
              <w:t>End special fossil-fuel tax breaks [$25 billion; JCT]</w:t>
            </w:r>
          </w:p>
          <w:p w:rsidR="0065212B" w:rsidRPr="00FC1D6F" w:rsidRDefault="0065212B" w:rsidP="0065212B">
            <w:pPr>
              <w:numPr>
                <w:ilvl w:val="0"/>
                <w:numId w:val="23"/>
              </w:numPr>
              <w:spacing w:after="0" w:line="240" w:lineRule="auto"/>
              <w:rPr>
                <w:rFonts w:ascii="Arial Narrow" w:eastAsia="Calibri" w:hAnsi="Arial Narrow"/>
                <w:b/>
                <w:sz w:val="20"/>
              </w:rPr>
            </w:pPr>
            <w:r w:rsidRPr="00FC1D6F">
              <w:rPr>
                <w:rFonts w:ascii="Arial Narrow" w:eastAsia="Calibri" w:hAnsi="Arial Narrow"/>
                <w:sz w:val="20"/>
              </w:rPr>
              <w:t>End stock option loopholes [$25 billion; JCT]</w:t>
            </w:r>
          </w:p>
          <w:p w:rsidR="0065212B" w:rsidRPr="00FC1D6F" w:rsidRDefault="0065212B" w:rsidP="00422AD3">
            <w:pPr>
              <w:numPr>
                <w:ilvl w:val="0"/>
                <w:numId w:val="23"/>
              </w:numPr>
              <w:spacing w:after="0" w:line="240" w:lineRule="auto"/>
              <w:rPr>
                <w:rFonts w:ascii="Arial Narrow" w:eastAsia="Calibri" w:hAnsi="Arial Narrow"/>
                <w:b/>
                <w:szCs w:val="24"/>
              </w:rPr>
            </w:pPr>
            <w:r w:rsidRPr="00FC1D6F">
              <w:rPr>
                <w:rFonts w:ascii="Arial Narrow" w:eastAsia="Calibri" w:hAnsi="Arial Narrow"/>
                <w:sz w:val="20"/>
              </w:rPr>
              <w:t>Cap tax deductibility of executive compensation, which was done under TARP and the ACA [$42 billion; Economic Policy Institute]</w:t>
            </w:r>
          </w:p>
        </w:tc>
        <w:tc>
          <w:tcPr>
            <w:tcW w:w="1350" w:type="dxa"/>
            <w:shd w:val="clear" w:color="auto" w:fill="auto"/>
            <w:vAlign w:val="center"/>
          </w:tcPr>
          <w:p w:rsidR="0065212B" w:rsidRPr="00DF3956" w:rsidRDefault="0065212B" w:rsidP="00DF3956">
            <w:pPr>
              <w:spacing w:after="0" w:line="240" w:lineRule="auto"/>
              <w:jc w:val="center"/>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$162</w:t>
            </w:r>
          </w:p>
        </w:tc>
      </w:tr>
      <w:tr w:rsidR="0065212B" w:rsidRPr="003153C6" w:rsidTr="00DF3956">
        <w:tc>
          <w:tcPr>
            <w:tcW w:w="8550" w:type="dxa"/>
            <w:shd w:val="clear" w:color="auto" w:fill="auto"/>
          </w:tcPr>
          <w:p w:rsidR="0065212B" w:rsidRPr="00DF3956" w:rsidRDefault="0065212B" w:rsidP="0065212B">
            <w:pPr>
              <w:spacing w:after="0" w:line="240" w:lineRule="auto"/>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 xml:space="preserve">Place a small sales tax on Wall Street trading </w:t>
            </w:r>
          </w:p>
          <w:p w:rsidR="0065212B" w:rsidRPr="00FC1D6F" w:rsidRDefault="00180119" w:rsidP="002F2092">
            <w:pPr>
              <w:spacing w:after="0" w:line="240" w:lineRule="auto"/>
              <w:rPr>
                <w:rFonts w:ascii="Arial Narrow" w:eastAsia="Calibri" w:hAnsi="Arial Narrow"/>
                <w:sz w:val="20"/>
              </w:rPr>
            </w:pPr>
            <w:r>
              <w:rPr>
                <w:rFonts w:ascii="Arial Narrow" w:eastAsia="Calibri" w:hAnsi="Arial Narrow"/>
                <w:sz w:val="20"/>
              </w:rPr>
              <w:t xml:space="preserve">Apply a </w:t>
            </w:r>
            <w:r w:rsidR="0065212B" w:rsidRPr="00FC1D6F">
              <w:rPr>
                <w:rFonts w:ascii="Arial Narrow" w:eastAsia="Calibri" w:hAnsi="Arial Narrow"/>
                <w:sz w:val="20"/>
              </w:rPr>
              <w:t>tax of 30 cents for every $1,000 in trades (0.03 percent) of stocks, bonds, derivatives, and other financial products [$35</w:t>
            </w:r>
            <w:r w:rsidR="002F2092">
              <w:rPr>
                <w:rFonts w:ascii="Arial Narrow" w:eastAsia="Calibri" w:hAnsi="Arial Narrow"/>
                <w:sz w:val="20"/>
              </w:rPr>
              <w:t>3</w:t>
            </w:r>
            <w:r w:rsidR="0065212B" w:rsidRPr="00FC1D6F">
              <w:rPr>
                <w:rFonts w:ascii="Arial Narrow" w:eastAsia="Calibri" w:hAnsi="Arial Narrow"/>
                <w:sz w:val="20"/>
              </w:rPr>
              <w:t xml:space="preserve"> billion; JCT]</w:t>
            </w:r>
          </w:p>
        </w:tc>
        <w:tc>
          <w:tcPr>
            <w:tcW w:w="1350" w:type="dxa"/>
            <w:shd w:val="clear" w:color="auto" w:fill="auto"/>
            <w:vAlign w:val="center"/>
          </w:tcPr>
          <w:p w:rsidR="0065212B" w:rsidRPr="00DF3956" w:rsidRDefault="0065212B" w:rsidP="002F2092">
            <w:pPr>
              <w:spacing w:after="0" w:line="240" w:lineRule="auto"/>
              <w:jc w:val="center"/>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$35</w:t>
            </w:r>
            <w:r w:rsidR="002F2092">
              <w:rPr>
                <w:rFonts w:ascii="Arial Narrow" w:eastAsia="Times" w:hAnsi="Arial Narrow" w:cs="Calibri"/>
                <w:b/>
                <w:color w:val="0477AE"/>
                <w:sz w:val="24"/>
                <w:szCs w:val="24"/>
              </w:rPr>
              <w:t>3</w:t>
            </w:r>
          </w:p>
        </w:tc>
      </w:tr>
      <w:tr w:rsidR="0065212B" w:rsidRPr="003153C6" w:rsidTr="00DF3956">
        <w:tc>
          <w:tcPr>
            <w:tcW w:w="8550" w:type="dxa"/>
            <w:shd w:val="clear" w:color="auto" w:fill="auto"/>
          </w:tcPr>
          <w:p w:rsidR="0065212B" w:rsidRPr="00DF3956" w:rsidRDefault="0065212B" w:rsidP="0065212B">
            <w:pPr>
              <w:spacing w:after="0" w:line="240" w:lineRule="auto"/>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Limit tax deductions for the richest 2%</w:t>
            </w:r>
          </w:p>
          <w:p w:rsidR="0065212B" w:rsidRPr="00FC1D6F" w:rsidRDefault="0065212B" w:rsidP="009779A6">
            <w:pPr>
              <w:spacing w:after="0" w:line="240" w:lineRule="auto"/>
              <w:rPr>
                <w:rFonts w:ascii="Arial Narrow" w:eastAsia="Calibri" w:hAnsi="Arial Narrow"/>
                <w:sz w:val="20"/>
              </w:rPr>
            </w:pPr>
            <w:r w:rsidRPr="00FC1D6F">
              <w:rPr>
                <w:rFonts w:ascii="Arial Narrow" w:eastAsia="Calibri" w:hAnsi="Arial Narrow"/>
                <w:sz w:val="20"/>
              </w:rPr>
              <w:t>Reduce the value of tax deductions</w:t>
            </w:r>
            <w:r w:rsidR="009779A6">
              <w:rPr>
                <w:rFonts w:ascii="Arial Narrow" w:eastAsia="Calibri" w:hAnsi="Arial Narrow"/>
                <w:sz w:val="20"/>
              </w:rPr>
              <w:t xml:space="preserve"> and exclusions</w:t>
            </w:r>
            <w:r w:rsidRPr="00FC1D6F">
              <w:rPr>
                <w:rFonts w:ascii="Arial Narrow" w:eastAsia="Calibri" w:hAnsi="Arial Narrow"/>
                <w:sz w:val="20"/>
              </w:rPr>
              <w:t xml:space="preserve"> to 28%, as proposed by President Obama, which would affect the richest 2% [$513 billion; JCT estimate updated by CTJ).</w:t>
            </w:r>
          </w:p>
        </w:tc>
        <w:tc>
          <w:tcPr>
            <w:tcW w:w="1350" w:type="dxa"/>
            <w:shd w:val="clear" w:color="auto" w:fill="auto"/>
            <w:vAlign w:val="center"/>
          </w:tcPr>
          <w:p w:rsidR="0065212B" w:rsidRPr="00DF3956" w:rsidRDefault="0065212B" w:rsidP="00DF3956">
            <w:pPr>
              <w:spacing w:after="0" w:line="240" w:lineRule="auto"/>
              <w:jc w:val="center"/>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$513</w:t>
            </w:r>
          </w:p>
        </w:tc>
      </w:tr>
      <w:tr w:rsidR="0065212B" w:rsidRPr="003153C6" w:rsidTr="00DF3956">
        <w:tc>
          <w:tcPr>
            <w:tcW w:w="8550" w:type="dxa"/>
            <w:shd w:val="clear" w:color="auto" w:fill="auto"/>
          </w:tcPr>
          <w:p w:rsidR="0065212B" w:rsidRPr="00DF3956" w:rsidRDefault="0065212B" w:rsidP="0065212B">
            <w:pPr>
              <w:spacing w:after="0" w:line="240" w:lineRule="auto"/>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Close loopholes that allow the very wealthy to shield income from taxation</w:t>
            </w:r>
          </w:p>
          <w:p w:rsidR="0065212B" w:rsidRPr="00FC1D6F" w:rsidRDefault="0065212B" w:rsidP="009779A6">
            <w:pPr>
              <w:pStyle w:val="ListParagraph"/>
              <w:numPr>
                <w:ilvl w:val="0"/>
                <w:numId w:val="6"/>
              </w:numPr>
              <w:spacing w:after="0" w:line="240" w:lineRule="auto"/>
              <w:rPr>
                <w:rFonts w:ascii="Arial Narrow" w:hAnsi="Arial Narrow"/>
                <w:sz w:val="20"/>
                <w:szCs w:val="20"/>
              </w:rPr>
            </w:pPr>
            <w:r w:rsidRPr="00FC1D6F">
              <w:rPr>
                <w:rFonts w:ascii="Arial Narrow" w:hAnsi="Arial Narrow"/>
                <w:sz w:val="20"/>
                <w:szCs w:val="20"/>
              </w:rPr>
              <w:t>Close the inherited capital gains tax loophole [Savings: About $500 billion; JCT]</w:t>
            </w:r>
          </w:p>
          <w:p w:rsidR="0065212B" w:rsidRPr="00FC1D6F" w:rsidRDefault="0065212B" w:rsidP="009779A6">
            <w:pPr>
              <w:pStyle w:val="ListParagraph"/>
              <w:numPr>
                <w:ilvl w:val="0"/>
                <w:numId w:val="6"/>
              </w:numPr>
              <w:spacing w:after="0" w:line="240" w:lineRule="auto"/>
              <w:rPr>
                <w:rFonts w:ascii="Arial Narrow" w:hAnsi="Arial Narrow"/>
                <w:sz w:val="20"/>
                <w:szCs w:val="20"/>
              </w:rPr>
            </w:pPr>
            <w:r w:rsidRPr="00FC1D6F">
              <w:rPr>
                <w:rFonts w:ascii="Arial Narrow" w:hAnsi="Arial Narrow"/>
                <w:sz w:val="20"/>
                <w:szCs w:val="20"/>
              </w:rPr>
              <w:t xml:space="preserve">Tax capital gains and dividends </w:t>
            </w:r>
            <w:r w:rsidR="00422AD3">
              <w:rPr>
                <w:rFonts w:ascii="Arial Narrow" w:hAnsi="Arial Narrow"/>
                <w:sz w:val="20"/>
                <w:szCs w:val="20"/>
              </w:rPr>
              <w:t xml:space="preserve">of the richest 2% </w:t>
            </w:r>
            <w:r w:rsidRPr="00FC1D6F">
              <w:rPr>
                <w:rFonts w:ascii="Arial Narrow" w:hAnsi="Arial Narrow"/>
                <w:sz w:val="20"/>
                <w:szCs w:val="20"/>
              </w:rPr>
              <w:t xml:space="preserve">at </w:t>
            </w:r>
            <w:r w:rsidR="00B0658E">
              <w:rPr>
                <w:rFonts w:ascii="Arial Narrow" w:hAnsi="Arial Narrow"/>
                <w:sz w:val="20"/>
                <w:szCs w:val="20"/>
              </w:rPr>
              <w:t xml:space="preserve">the same rate as </w:t>
            </w:r>
            <w:r w:rsidRPr="00FC1D6F">
              <w:rPr>
                <w:rFonts w:ascii="Arial Narrow" w:hAnsi="Arial Narrow"/>
                <w:sz w:val="20"/>
                <w:szCs w:val="20"/>
              </w:rPr>
              <w:t xml:space="preserve">ordinary income  [About $500 billion; CTJ] </w:t>
            </w:r>
          </w:p>
          <w:p w:rsidR="0065212B" w:rsidRPr="00FC1D6F" w:rsidRDefault="0065212B" w:rsidP="009779A6">
            <w:pPr>
              <w:pStyle w:val="ListParagraph"/>
              <w:numPr>
                <w:ilvl w:val="0"/>
                <w:numId w:val="6"/>
              </w:numPr>
              <w:spacing w:after="0" w:line="240" w:lineRule="auto"/>
              <w:rPr>
                <w:rFonts w:ascii="Arial Narrow" w:hAnsi="Arial Narrow"/>
                <w:sz w:val="20"/>
                <w:szCs w:val="20"/>
              </w:rPr>
            </w:pPr>
            <w:r w:rsidRPr="00FC1D6F">
              <w:rPr>
                <w:rFonts w:ascii="Arial Narrow" w:hAnsi="Arial Narrow"/>
                <w:sz w:val="20"/>
                <w:szCs w:val="20"/>
              </w:rPr>
              <w:t>Restore a robust estate tax affecting fewer than 2% of estates [$114-249 billion; JCT)</w:t>
            </w:r>
          </w:p>
          <w:p w:rsidR="0065212B" w:rsidRPr="00FC1D6F" w:rsidRDefault="0065212B" w:rsidP="009779A6">
            <w:pPr>
              <w:pStyle w:val="ListParagraph"/>
              <w:numPr>
                <w:ilvl w:val="0"/>
                <w:numId w:val="6"/>
              </w:numPr>
              <w:spacing w:after="0" w:line="240" w:lineRule="auto"/>
              <w:rPr>
                <w:rFonts w:ascii="Arial Narrow" w:hAnsi="Arial Narrow"/>
                <w:sz w:val="20"/>
                <w:szCs w:val="20"/>
              </w:rPr>
            </w:pPr>
            <w:r w:rsidRPr="00FC1D6F">
              <w:rPr>
                <w:rFonts w:ascii="Arial Narrow" w:hAnsi="Arial Narrow"/>
                <w:sz w:val="20"/>
                <w:szCs w:val="20"/>
              </w:rPr>
              <w:t>Close loopholes in the estate tax [$24 billion; Treasury Dept.]</w:t>
            </w:r>
          </w:p>
          <w:p w:rsidR="0065212B" w:rsidRPr="00FC1D6F" w:rsidRDefault="0065212B" w:rsidP="009779A6">
            <w:pPr>
              <w:pStyle w:val="ListParagraph"/>
              <w:numPr>
                <w:ilvl w:val="0"/>
                <w:numId w:val="6"/>
              </w:numPr>
              <w:spacing w:after="0" w:line="240" w:lineRule="auto"/>
              <w:rPr>
                <w:rFonts w:ascii="Arial Narrow" w:hAnsi="Arial Narrow"/>
                <w:sz w:val="20"/>
                <w:szCs w:val="20"/>
              </w:rPr>
            </w:pPr>
            <w:r w:rsidRPr="00FC1D6F">
              <w:rPr>
                <w:rFonts w:ascii="Arial Narrow" w:hAnsi="Arial Narrow"/>
                <w:sz w:val="20"/>
                <w:szCs w:val="20"/>
              </w:rPr>
              <w:t xml:space="preserve">Curb the deferral of tax on income from the purchase of annuities or life insurance policies by wealthy investors [$260 billion; Congressional Budget Office (CBO)] </w:t>
            </w:r>
          </w:p>
          <w:p w:rsidR="0065212B" w:rsidRPr="00FC1D6F" w:rsidRDefault="0065212B" w:rsidP="009779A6">
            <w:pPr>
              <w:pStyle w:val="ListParagraph"/>
              <w:numPr>
                <w:ilvl w:val="0"/>
                <w:numId w:val="6"/>
              </w:numPr>
              <w:spacing w:after="0" w:line="240" w:lineRule="auto"/>
              <w:rPr>
                <w:rFonts w:ascii="Arial Narrow" w:hAnsi="Arial Narrow"/>
                <w:sz w:val="20"/>
                <w:szCs w:val="20"/>
              </w:rPr>
            </w:pPr>
            <w:r w:rsidRPr="00FC1D6F">
              <w:rPr>
                <w:rFonts w:ascii="Arial Narrow" w:hAnsi="Arial Narrow"/>
                <w:sz w:val="20"/>
                <w:szCs w:val="20"/>
              </w:rPr>
              <w:t>Limit excessive IRA accumulations for investment fund managers [No estimate]</w:t>
            </w:r>
          </w:p>
          <w:p w:rsidR="009779A6" w:rsidRPr="009779A6" w:rsidRDefault="009779A6" w:rsidP="009779A6">
            <w:pPr>
              <w:pStyle w:val="ListParagraph"/>
              <w:numPr>
                <w:ilvl w:val="0"/>
                <w:numId w:val="6"/>
              </w:numPr>
              <w:spacing w:after="0" w:line="240" w:lineRule="auto"/>
              <w:rPr>
                <w:rFonts w:ascii="Arial Narrow" w:hAnsi="Arial Narrow"/>
                <w:sz w:val="20"/>
                <w:szCs w:val="20"/>
              </w:rPr>
            </w:pPr>
            <w:r w:rsidRPr="009779A6">
              <w:rPr>
                <w:rFonts w:ascii="Arial Narrow" w:hAnsi="Arial Narrow"/>
                <w:sz w:val="20"/>
                <w:szCs w:val="20"/>
              </w:rPr>
              <w:t xml:space="preserve">Ensure millionaires pay at least a 30% tax rate (“Buffett Rule”) [$54 billion; </w:t>
            </w:r>
            <w:r w:rsidR="001B66FB">
              <w:rPr>
                <w:rFonts w:ascii="Arial Narrow" w:hAnsi="Arial Narrow"/>
                <w:sz w:val="20"/>
                <w:szCs w:val="20"/>
              </w:rPr>
              <w:t>JCT</w:t>
            </w:r>
            <w:r>
              <w:rPr>
                <w:rFonts w:ascii="Arial Narrow" w:hAnsi="Arial Narrow"/>
                <w:sz w:val="20"/>
                <w:szCs w:val="20"/>
              </w:rPr>
              <w:t>]</w:t>
            </w:r>
          </w:p>
          <w:p w:rsidR="0065212B" w:rsidRPr="00FC1D6F" w:rsidRDefault="0065212B" w:rsidP="009779A6">
            <w:pPr>
              <w:pStyle w:val="ListParagraph"/>
              <w:numPr>
                <w:ilvl w:val="0"/>
                <w:numId w:val="6"/>
              </w:numPr>
              <w:spacing w:after="0" w:line="240" w:lineRule="auto"/>
              <w:rPr>
                <w:rFonts w:ascii="Arial Narrow" w:hAnsi="Arial Narrow"/>
                <w:sz w:val="20"/>
                <w:szCs w:val="20"/>
              </w:rPr>
            </w:pPr>
            <w:r w:rsidRPr="00FC1D6F">
              <w:rPr>
                <w:rFonts w:ascii="Arial Narrow" w:hAnsi="Arial Narrow"/>
                <w:sz w:val="20"/>
                <w:szCs w:val="20"/>
              </w:rPr>
              <w:t>Close the “like-kind exchange” loophole, which allows real-estate investors and multinational corporations to sell property at an appreciated price while avoiding capital gains taxes [$28 billion; CTJ]</w:t>
            </w:r>
          </w:p>
          <w:p w:rsidR="0065212B" w:rsidRPr="00DF3956" w:rsidRDefault="0065212B" w:rsidP="009779A6">
            <w:pPr>
              <w:pStyle w:val="ListParagraph"/>
              <w:numPr>
                <w:ilvl w:val="0"/>
                <w:numId w:val="6"/>
              </w:numPr>
              <w:spacing w:after="0" w:line="240" w:lineRule="auto"/>
              <w:rPr>
                <w:rFonts w:ascii="Arial Narrow" w:hAnsi="Arial Narrow"/>
                <w:sz w:val="20"/>
                <w:szCs w:val="20"/>
              </w:rPr>
            </w:pPr>
            <w:r w:rsidRPr="00DF3956">
              <w:rPr>
                <w:rFonts w:ascii="Arial Narrow" w:hAnsi="Arial Narrow"/>
                <w:sz w:val="20"/>
                <w:szCs w:val="20"/>
              </w:rPr>
              <w:t>Close the “carried interest” loophole for investment fund managers [$17-21 billion; JCT and CBO]</w:t>
            </w:r>
          </w:p>
          <w:p w:rsidR="0065212B" w:rsidRPr="00DF3956" w:rsidRDefault="0065212B" w:rsidP="009779A6">
            <w:pPr>
              <w:pStyle w:val="ListParagraph"/>
              <w:numPr>
                <w:ilvl w:val="0"/>
                <w:numId w:val="6"/>
              </w:numPr>
              <w:spacing w:after="0" w:line="240" w:lineRule="auto"/>
              <w:rPr>
                <w:rFonts w:ascii="Arial Narrow" w:hAnsi="Arial Narrow"/>
                <w:b/>
                <w:sz w:val="20"/>
                <w:szCs w:val="20"/>
              </w:rPr>
            </w:pPr>
            <w:r w:rsidRPr="00DF3956">
              <w:rPr>
                <w:rFonts w:ascii="Arial Narrow" w:hAnsi="Arial Narrow"/>
                <w:sz w:val="20"/>
                <w:szCs w:val="20"/>
              </w:rPr>
              <w:t>Eliminate the Medicare loophole for S Corporations [$11 billion; JCT]</w:t>
            </w:r>
          </w:p>
          <w:p w:rsidR="0065212B" w:rsidRPr="00DF3956" w:rsidRDefault="0065212B" w:rsidP="009779A6">
            <w:pPr>
              <w:pStyle w:val="ListParagraph"/>
              <w:numPr>
                <w:ilvl w:val="0"/>
                <w:numId w:val="6"/>
              </w:numPr>
              <w:spacing w:after="0" w:line="240" w:lineRule="auto"/>
              <w:rPr>
                <w:rFonts w:ascii="Arial Narrow" w:hAnsi="Arial Narrow"/>
                <w:b/>
                <w:sz w:val="20"/>
                <w:szCs w:val="20"/>
              </w:rPr>
            </w:pPr>
            <w:r w:rsidRPr="00DF3956">
              <w:rPr>
                <w:rFonts w:ascii="Arial Narrow" w:hAnsi="Arial Narrow"/>
                <w:sz w:val="20"/>
                <w:szCs w:val="20"/>
              </w:rPr>
              <w:t xml:space="preserve">Deny </w:t>
            </w:r>
            <w:r w:rsidR="00FA14C8">
              <w:rPr>
                <w:rFonts w:ascii="Arial Narrow" w:hAnsi="Arial Narrow"/>
                <w:sz w:val="20"/>
                <w:szCs w:val="20"/>
              </w:rPr>
              <w:t xml:space="preserve">the </w:t>
            </w:r>
            <w:r w:rsidRPr="00DF3956">
              <w:rPr>
                <w:rFonts w:ascii="Arial Narrow" w:hAnsi="Arial Narrow"/>
                <w:sz w:val="20"/>
                <w:szCs w:val="20"/>
              </w:rPr>
              <w:t>mortgage interest deduction for vacation homes and yachts [$15 billion; Committee for a Responsible Federal Budget]</w:t>
            </w:r>
          </w:p>
          <w:p w:rsidR="0065212B" w:rsidRPr="00FC1D6F" w:rsidRDefault="0065212B" w:rsidP="003867AC">
            <w:pPr>
              <w:pStyle w:val="ListParagraph"/>
              <w:numPr>
                <w:ilvl w:val="0"/>
                <w:numId w:val="6"/>
              </w:numPr>
              <w:spacing w:after="0" w:line="240" w:lineRule="auto"/>
              <w:rPr>
                <w:rFonts w:ascii="Arial Narrow" w:hAnsi="Arial Narrow"/>
                <w:b/>
                <w:sz w:val="24"/>
                <w:szCs w:val="24"/>
              </w:rPr>
            </w:pPr>
            <w:r w:rsidRPr="00DF3956">
              <w:rPr>
                <w:rFonts w:ascii="Arial Narrow" w:hAnsi="Arial Narrow"/>
                <w:sz w:val="20"/>
                <w:szCs w:val="20"/>
              </w:rPr>
              <w:t xml:space="preserve">Close the tax loophole for derivatives traders [$3 billion; JCT]  </w:t>
            </w:r>
          </w:p>
        </w:tc>
        <w:tc>
          <w:tcPr>
            <w:tcW w:w="1350" w:type="dxa"/>
            <w:shd w:val="clear" w:color="auto" w:fill="auto"/>
            <w:vAlign w:val="center"/>
          </w:tcPr>
          <w:p w:rsidR="0065212B" w:rsidRPr="00DF3956" w:rsidRDefault="0065212B" w:rsidP="009779A6">
            <w:pPr>
              <w:spacing w:after="0" w:line="240" w:lineRule="auto"/>
              <w:jc w:val="center"/>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$1</w:t>
            </w:r>
            <w:r w:rsidR="009779A6">
              <w:rPr>
                <w:rFonts w:ascii="Arial Narrow" w:eastAsia="Times" w:hAnsi="Arial Narrow" w:cs="Calibri"/>
                <w:b/>
                <w:color w:val="0477AE"/>
                <w:sz w:val="24"/>
                <w:szCs w:val="24"/>
              </w:rPr>
              <w:t>,</w:t>
            </w:r>
            <w:r w:rsidRPr="00DF3956">
              <w:rPr>
                <w:rFonts w:ascii="Arial Narrow" w:eastAsia="Times" w:hAnsi="Arial Narrow" w:cs="Calibri"/>
                <w:b/>
                <w:color w:val="0477AE"/>
                <w:sz w:val="24"/>
                <w:szCs w:val="24"/>
              </w:rPr>
              <w:t>5</w:t>
            </w:r>
            <w:r w:rsidR="009779A6">
              <w:rPr>
                <w:rFonts w:ascii="Arial Narrow" w:eastAsia="Times" w:hAnsi="Arial Narrow" w:cs="Calibri"/>
                <w:b/>
                <w:color w:val="0477AE"/>
                <w:sz w:val="24"/>
                <w:szCs w:val="24"/>
              </w:rPr>
              <w:t>26</w:t>
            </w:r>
            <w:r w:rsidRPr="00DF3956">
              <w:rPr>
                <w:rFonts w:ascii="Arial Narrow" w:eastAsia="Times" w:hAnsi="Arial Narrow" w:cs="Calibri"/>
                <w:b/>
                <w:color w:val="0477AE"/>
                <w:sz w:val="24"/>
                <w:szCs w:val="24"/>
              </w:rPr>
              <w:t>-$1,6</w:t>
            </w:r>
            <w:r w:rsidR="009779A6">
              <w:rPr>
                <w:rFonts w:ascii="Arial Narrow" w:eastAsia="Times" w:hAnsi="Arial Narrow" w:cs="Calibri"/>
                <w:b/>
                <w:color w:val="0477AE"/>
                <w:sz w:val="24"/>
                <w:szCs w:val="24"/>
              </w:rPr>
              <w:t>65</w:t>
            </w:r>
          </w:p>
        </w:tc>
      </w:tr>
      <w:tr w:rsidR="0065212B" w:rsidRPr="003153C6" w:rsidTr="00DF3956">
        <w:tc>
          <w:tcPr>
            <w:tcW w:w="8550" w:type="dxa"/>
            <w:shd w:val="clear" w:color="auto" w:fill="auto"/>
          </w:tcPr>
          <w:p w:rsidR="0065212B" w:rsidRPr="00DF3956" w:rsidRDefault="0065212B" w:rsidP="00DF3956">
            <w:pPr>
              <w:spacing w:after="0" w:line="240" w:lineRule="auto"/>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Place a 5%-5.6% surtax on the incomes of millionaires or multimillionaires</w:t>
            </w:r>
          </w:p>
          <w:p w:rsidR="0065212B" w:rsidRPr="00FC1D6F" w:rsidRDefault="0065212B" w:rsidP="0065212B">
            <w:pPr>
              <w:pStyle w:val="ListParagraph"/>
              <w:numPr>
                <w:ilvl w:val="0"/>
                <w:numId w:val="16"/>
              </w:numPr>
              <w:spacing w:after="0" w:line="240" w:lineRule="auto"/>
              <w:rPr>
                <w:rFonts w:ascii="Arial Narrow" w:hAnsi="Arial Narrow"/>
                <w:sz w:val="20"/>
                <w:szCs w:val="20"/>
              </w:rPr>
            </w:pPr>
            <w:r w:rsidRPr="00FC1D6F">
              <w:rPr>
                <w:rFonts w:ascii="Arial Narrow" w:hAnsi="Arial Narrow"/>
                <w:sz w:val="20"/>
                <w:szCs w:val="20"/>
              </w:rPr>
              <w:t>Set a $1 million threshold at 5.6% [$453 billion; JCT]</w:t>
            </w:r>
          </w:p>
          <w:p w:rsidR="0065212B" w:rsidRPr="00FC1D6F" w:rsidRDefault="0065212B" w:rsidP="00422AD3">
            <w:pPr>
              <w:pStyle w:val="ListParagraph"/>
              <w:numPr>
                <w:ilvl w:val="0"/>
                <w:numId w:val="16"/>
              </w:numPr>
              <w:spacing w:after="0" w:line="240" w:lineRule="auto"/>
              <w:rPr>
                <w:rFonts w:ascii="Arial Narrow" w:hAnsi="Arial Narrow"/>
                <w:sz w:val="20"/>
                <w:szCs w:val="20"/>
              </w:rPr>
            </w:pPr>
            <w:r w:rsidRPr="00FC1D6F">
              <w:rPr>
                <w:rFonts w:ascii="Arial Narrow" w:hAnsi="Arial Narrow"/>
                <w:sz w:val="20"/>
                <w:szCs w:val="20"/>
              </w:rPr>
              <w:t>Set a $10 million threshold at 5% [$107 billion; JCT]</w:t>
            </w:r>
            <w:r w:rsidRPr="00FC1D6F" w:rsidDel="002927CB">
              <w:rPr>
                <w:rFonts w:ascii="Arial Narrow" w:hAnsi="Arial Narrow"/>
                <w:sz w:val="20"/>
                <w:szCs w:val="20"/>
              </w:rPr>
              <w:t xml:space="preserve"> </w:t>
            </w:r>
          </w:p>
        </w:tc>
        <w:tc>
          <w:tcPr>
            <w:tcW w:w="1350" w:type="dxa"/>
            <w:shd w:val="clear" w:color="auto" w:fill="auto"/>
            <w:vAlign w:val="center"/>
          </w:tcPr>
          <w:p w:rsidR="0065212B" w:rsidRPr="00DF3956" w:rsidRDefault="0065212B" w:rsidP="00DF3956">
            <w:pPr>
              <w:spacing w:after="0" w:line="240" w:lineRule="auto"/>
              <w:jc w:val="center"/>
              <w:rPr>
                <w:rFonts w:ascii="Arial Narrow" w:eastAsia="Times" w:hAnsi="Arial Narrow" w:cs="Calibri"/>
                <w:b/>
                <w:color w:val="0477AE"/>
                <w:sz w:val="24"/>
                <w:szCs w:val="24"/>
              </w:rPr>
            </w:pPr>
            <w:r w:rsidRPr="00DF3956">
              <w:rPr>
                <w:rFonts w:ascii="Arial Narrow" w:eastAsia="Times" w:hAnsi="Arial Narrow" w:cs="Calibri"/>
                <w:b/>
                <w:color w:val="0477AE"/>
                <w:sz w:val="24"/>
                <w:szCs w:val="24"/>
              </w:rPr>
              <w:t>$107-$453</w:t>
            </w:r>
          </w:p>
        </w:tc>
      </w:tr>
    </w:tbl>
    <w:p w:rsidR="00051284" w:rsidRDefault="00051284" w:rsidP="009E5493">
      <w:pPr>
        <w:rPr>
          <w:rFonts w:ascii="Helvetica" w:hAnsi="Helvetica"/>
          <w:b/>
          <w:noProof/>
          <w:color w:val="000000"/>
          <w:sz w:val="4"/>
          <w:szCs w:val="4"/>
        </w:rPr>
        <w:sectPr w:rsidR="00051284" w:rsidSect="009779A6">
          <w:footerReference w:type="default" r:id="rId12"/>
          <w:endnotePr>
            <w:numFmt w:val="decimal"/>
          </w:endnotePr>
          <w:pgSz w:w="12240" w:h="15840"/>
          <w:pgMar w:top="720" w:right="1440" w:bottom="720" w:left="1440" w:header="720" w:footer="720" w:gutter="0"/>
          <w:cols w:space="720"/>
          <w:titlePg/>
          <w:docGrid w:linePitch="326"/>
        </w:sectPr>
      </w:pPr>
    </w:p>
    <w:p w:rsidR="0065212B" w:rsidRDefault="0065212B" w:rsidP="00D05EBD">
      <w:pPr>
        <w:spacing w:after="0" w:line="240" w:lineRule="auto"/>
        <w:jc w:val="center"/>
        <w:rPr>
          <w:rFonts w:ascii="Calibri" w:eastAsia="Times" w:hAnsi="Calibri" w:cs="Calibri"/>
          <w:b/>
          <w:sz w:val="32"/>
          <w:szCs w:val="32"/>
        </w:rPr>
      </w:pPr>
      <w:r>
        <w:rPr>
          <w:noProof/>
        </w:rPr>
        <w:lastRenderedPageBreak/>
        <w:drawing>
          <wp:inline distT="0" distB="0" distL="0" distR="0" wp14:anchorId="0ABDAD17" wp14:editId="29A612FD">
            <wp:extent cx="287655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565150"/>
                    </a:xfrm>
                    <a:prstGeom prst="rect">
                      <a:avLst/>
                    </a:prstGeom>
                    <a:noFill/>
                    <a:ln>
                      <a:noFill/>
                    </a:ln>
                  </pic:spPr>
                </pic:pic>
              </a:graphicData>
            </a:graphic>
          </wp:inline>
        </w:drawing>
      </w:r>
    </w:p>
    <w:p w:rsidR="0065212B" w:rsidRDefault="0065212B" w:rsidP="00D05EBD">
      <w:pPr>
        <w:spacing w:after="0" w:line="240" w:lineRule="auto"/>
        <w:jc w:val="center"/>
        <w:rPr>
          <w:rFonts w:ascii="Calibri" w:eastAsia="Times" w:hAnsi="Calibri" w:cs="Calibri"/>
          <w:b/>
          <w:sz w:val="32"/>
          <w:szCs w:val="32"/>
        </w:rPr>
      </w:pPr>
    </w:p>
    <w:p w:rsidR="00D05EBD" w:rsidRPr="008E4F54" w:rsidRDefault="00D05EBD" w:rsidP="00D05EBD">
      <w:pPr>
        <w:spacing w:after="0" w:line="240" w:lineRule="auto"/>
        <w:jc w:val="center"/>
        <w:rPr>
          <w:rFonts w:ascii="Calibri" w:eastAsia="Times" w:hAnsi="Calibri" w:cs="Calibri"/>
          <w:b/>
          <w:color w:val="0477AE"/>
          <w:sz w:val="40"/>
          <w:szCs w:val="40"/>
        </w:rPr>
      </w:pPr>
      <w:r w:rsidRPr="008E4F54">
        <w:rPr>
          <w:rFonts w:ascii="Calibri" w:eastAsia="Times" w:hAnsi="Calibri" w:cs="Calibri"/>
          <w:b/>
          <w:color w:val="0477AE"/>
          <w:sz w:val="40"/>
          <w:szCs w:val="40"/>
        </w:rPr>
        <w:t>NEXT STEPS TOWARD TAX FAIRNESS:</w:t>
      </w:r>
    </w:p>
    <w:p w:rsidR="00D05EBD" w:rsidRPr="00C66723" w:rsidRDefault="007F6B6D" w:rsidP="00D05EBD">
      <w:pPr>
        <w:spacing w:after="0" w:line="240" w:lineRule="auto"/>
        <w:jc w:val="center"/>
        <w:rPr>
          <w:rFonts w:ascii="Calibri" w:eastAsia="Times" w:hAnsi="Calibri" w:cs="Calibri"/>
          <w:b/>
          <w:color w:val="0477AE"/>
          <w:sz w:val="32"/>
          <w:szCs w:val="32"/>
        </w:rPr>
      </w:pPr>
      <w:r>
        <w:rPr>
          <w:rFonts w:ascii="Calibri" w:eastAsia="Times" w:hAnsi="Calibri" w:cs="Calibri"/>
          <w:b/>
          <w:color w:val="0477AE"/>
          <w:sz w:val="32"/>
          <w:szCs w:val="32"/>
        </w:rPr>
        <w:t xml:space="preserve">Options for </w:t>
      </w:r>
      <w:r w:rsidR="00D05EBD" w:rsidRPr="00C66723">
        <w:rPr>
          <w:rFonts w:ascii="Calibri" w:eastAsia="Times" w:hAnsi="Calibri" w:cs="Calibri"/>
          <w:b/>
          <w:color w:val="0477AE"/>
          <w:sz w:val="32"/>
          <w:szCs w:val="32"/>
        </w:rPr>
        <w:t>Clos</w:t>
      </w:r>
      <w:r>
        <w:rPr>
          <w:rFonts w:ascii="Calibri" w:eastAsia="Times" w:hAnsi="Calibri" w:cs="Calibri"/>
          <w:b/>
          <w:color w:val="0477AE"/>
          <w:sz w:val="32"/>
          <w:szCs w:val="32"/>
        </w:rPr>
        <w:t>ing</w:t>
      </w:r>
      <w:r w:rsidR="00D05EBD" w:rsidRPr="00C66723">
        <w:rPr>
          <w:rFonts w:ascii="Calibri" w:eastAsia="Times" w:hAnsi="Calibri" w:cs="Calibri"/>
          <w:b/>
          <w:color w:val="0477AE"/>
          <w:sz w:val="32"/>
          <w:szCs w:val="32"/>
        </w:rPr>
        <w:t xml:space="preserve"> Loopholes for the Richest </w:t>
      </w:r>
      <w:r w:rsidR="005631DE" w:rsidRPr="00C66723">
        <w:rPr>
          <w:rFonts w:ascii="Calibri" w:eastAsia="Times" w:hAnsi="Calibri" w:cs="Calibri"/>
          <w:b/>
          <w:color w:val="0477AE"/>
          <w:sz w:val="32"/>
          <w:szCs w:val="32"/>
        </w:rPr>
        <w:t>2</w:t>
      </w:r>
      <w:r>
        <w:rPr>
          <w:rFonts w:ascii="Calibri" w:eastAsia="Times" w:hAnsi="Calibri" w:cs="Calibri"/>
          <w:b/>
          <w:color w:val="0477AE"/>
          <w:sz w:val="32"/>
          <w:szCs w:val="32"/>
        </w:rPr>
        <w:t>%</w:t>
      </w:r>
      <w:r w:rsidR="00D05EBD" w:rsidRPr="00C66723">
        <w:rPr>
          <w:rFonts w:ascii="Calibri" w:eastAsia="Times" w:hAnsi="Calibri" w:cs="Calibri"/>
          <w:b/>
          <w:color w:val="0477AE"/>
          <w:sz w:val="32"/>
          <w:szCs w:val="32"/>
        </w:rPr>
        <w:t xml:space="preserve"> and Big Corporations</w:t>
      </w:r>
    </w:p>
    <w:p w:rsidR="00D05EBD" w:rsidRDefault="00D05EBD" w:rsidP="00D05EBD">
      <w:pPr>
        <w:pStyle w:val="ListParagraph"/>
        <w:spacing w:after="0" w:line="240" w:lineRule="auto"/>
        <w:ind w:left="360"/>
        <w:rPr>
          <w:rFonts w:ascii="Calibri" w:eastAsia="Times" w:hAnsi="Calibri" w:cs="Calibri"/>
          <w:b/>
          <w:sz w:val="24"/>
          <w:szCs w:val="24"/>
        </w:rPr>
      </w:pPr>
    </w:p>
    <w:p w:rsidR="0065212B" w:rsidRDefault="0065212B" w:rsidP="0065212B">
      <w:pPr>
        <w:spacing w:after="0" w:line="240" w:lineRule="auto"/>
        <w:rPr>
          <w:rFonts w:ascii="Calibri" w:eastAsia="Times" w:hAnsi="Calibri" w:cs="Calibri"/>
          <w:sz w:val="24"/>
          <w:szCs w:val="24"/>
          <w:vertAlign w:val="superscript"/>
        </w:rPr>
      </w:pPr>
      <w:r>
        <w:rPr>
          <w:rFonts w:ascii="Calibri" w:eastAsia="Times" w:hAnsi="Calibri" w:cs="Calibri"/>
          <w:sz w:val="24"/>
          <w:szCs w:val="24"/>
        </w:rPr>
        <w:t>Income</w:t>
      </w:r>
      <w:r w:rsidRPr="00477E0F">
        <w:rPr>
          <w:rFonts w:ascii="Calibri" w:eastAsia="Times" w:hAnsi="Calibri" w:cs="Calibri"/>
          <w:sz w:val="24"/>
          <w:szCs w:val="24"/>
        </w:rPr>
        <w:t xml:space="preserve"> at the top has soared in recent years as the income of the middle class has stagnated.  The average federal tax rate for the top 1 percent of households declined from 35.1 percent to 28.9 percent between 1979 and 2009.</w:t>
      </w:r>
      <w:r w:rsidRPr="00477E0F">
        <w:rPr>
          <w:rFonts w:ascii="Calibri" w:eastAsia="Times" w:hAnsi="Calibri" w:cs="Calibri"/>
          <w:sz w:val="24"/>
          <w:szCs w:val="20"/>
          <w:vertAlign w:val="superscript"/>
        </w:rPr>
        <w:endnoteReference w:id="3"/>
      </w:r>
      <w:r w:rsidRPr="00477E0F">
        <w:rPr>
          <w:rFonts w:ascii="Calibri" w:eastAsia="Times" w:hAnsi="Calibri" w:cs="Calibri"/>
          <w:sz w:val="24"/>
          <w:szCs w:val="24"/>
          <w:vertAlign w:val="superscript"/>
        </w:rPr>
        <w:t xml:space="preserve"> </w:t>
      </w:r>
      <w:r>
        <w:rPr>
          <w:rFonts w:ascii="Calibri" w:eastAsia="Times" w:hAnsi="Calibri" w:cs="Calibri"/>
          <w:sz w:val="24"/>
          <w:szCs w:val="24"/>
          <w:vertAlign w:val="superscript"/>
        </w:rPr>
        <w:t xml:space="preserve"> </w:t>
      </w:r>
      <w:r>
        <w:rPr>
          <w:rFonts w:ascii="Calibri" w:eastAsia="Times" w:hAnsi="Calibri" w:cs="Calibri"/>
          <w:sz w:val="24"/>
          <w:szCs w:val="24"/>
        </w:rPr>
        <w:t>The share of</w:t>
      </w:r>
      <w:r w:rsidRPr="00477E0F">
        <w:rPr>
          <w:rFonts w:ascii="Calibri" w:eastAsia="Times" w:hAnsi="Calibri" w:cs="Calibri"/>
          <w:sz w:val="24"/>
          <w:szCs w:val="24"/>
        </w:rPr>
        <w:t xml:space="preserve"> federal revenue </w:t>
      </w:r>
      <w:r>
        <w:rPr>
          <w:rFonts w:ascii="Calibri" w:eastAsia="Times" w:hAnsi="Calibri" w:cs="Calibri"/>
          <w:sz w:val="24"/>
          <w:szCs w:val="24"/>
        </w:rPr>
        <w:t xml:space="preserve">from the corporate income tax </w:t>
      </w:r>
      <w:r w:rsidRPr="00477E0F">
        <w:rPr>
          <w:rFonts w:ascii="Calibri" w:eastAsia="Times" w:hAnsi="Calibri" w:cs="Calibri"/>
          <w:sz w:val="24"/>
          <w:szCs w:val="24"/>
        </w:rPr>
        <w:t xml:space="preserve">has plummeted by </w:t>
      </w:r>
      <w:r>
        <w:rPr>
          <w:rFonts w:ascii="Calibri" w:eastAsia="Times" w:hAnsi="Calibri" w:cs="Calibri"/>
          <w:sz w:val="24"/>
          <w:szCs w:val="24"/>
        </w:rPr>
        <w:t>75</w:t>
      </w:r>
      <w:r w:rsidRPr="00477E0F">
        <w:rPr>
          <w:rFonts w:ascii="Calibri" w:eastAsia="Times" w:hAnsi="Calibri" w:cs="Calibri"/>
          <w:sz w:val="24"/>
          <w:szCs w:val="24"/>
        </w:rPr>
        <w:t xml:space="preserve"> percent in the last </w:t>
      </w:r>
      <w:r>
        <w:rPr>
          <w:rFonts w:ascii="Calibri" w:eastAsia="Times" w:hAnsi="Calibri" w:cs="Calibri"/>
          <w:sz w:val="24"/>
          <w:szCs w:val="24"/>
        </w:rPr>
        <w:t>6</w:t>
      </w:r>
      <w:r w:rsidRPr="00477E0F">
        <w:rPr>
          <w:rFonts w:ascii="Calibri" w:eastAsia="Times" w:hAnsi="Calibri" w:cs="Calibri"/>
          <w:sz w:val="24"/>
          <w:szCs w:val="24"/>
        </w:rPr>
        <w:t>0 years</w:t>
      </w:r>
      <w:r>
        <w:rPr>
          <w:rFonts w:ascii="Calibri" w:eastAsia="Times" w:hAnsi="Calibri" w:cs="Calibri"/>
          <w:sz w:val="24"/>
          <w:szCs w:val="24"/>
        </w:rPr>
        <w:t>,</w:t>
      </w:r>
      <w:r w:rsidRPr="00477E0F">
        <w:rPr>
          <w:rFonts w:ascii="Calibri" w:eastAsia="Times" w:hAnsi="Calibri" w:cs="Calibri"/>
          <w:sz w:val="24"/>
          <w:szCs w:val="20"/>
          <w:vertAlign w:val="superscript"/>
        </w:rPr>
        <w:endnoteReference w:id="4"/>
      </w:r>
      <w:r w:rsidRPr="00477E0F">
        <w:rPr>
          <w:rFonts w:ascii="Calibri" w:eastAsia="Times" w:hAnsi="Calibri" w:cs="Calibri"/>
          <w:sz w:val="24"/>
          <w:szCs w:val="24"/>
        </w:rPr>
        <w:t xml:space="preserve"> while </w:t>
      </w:r>
      <w:r>
        <w:rPr>
          <w:rFonts w:ascii="Calibri" w:eastAsia="Times" w:hAnsi="Calibri" w:cs="Calibri"/>
          <w:sz w:val="24"/>
          <w:szCs w:val="24"/>
        </w:rPr>
        <w:t>corporate America’s</w:t>
      </w:r>
      <w:r w:rsidRPr="00477E0F">
        <w:rPr>
          <w:rFonts w:ascii="Calibri" w:eastAsia="Times" w:hAnsi="Calibri" w:cs="Calibri"/>
          <w:sz w:val="24"/>
          <w:szCs w:val="24"/>
        </w:rPr>
        <w:t xml:space="preserve"> profits have soared. Meanwhile, </w:t>
      </w:r>
      <w:r>
        <w:rPr>
          <w:rFonts w:ascii="Calibri" w:eastAsia="Times" w:hAnsi="Calibri" w:cs="Calibri"/>
          <w:sz w:val="24"/>
          <w:szCs w:val="24"/>
        </w:rPr>
        <w:t xml:space="preserve">over the last </w:t>
      </w:r>
      <w:r w:rsidR="00422AD3">
        <w:rPr>
          <w:rFonts w:ascii="Calibri" w:eastAsia="Times" w:hAnsi="Calibri" w:cs="Calibri"/>
          <w:sz w:val="24"/>
          <w:szCs w:val="24"/>
        </w:rPr>
        <w:t xml:space="preserve">4 </w:t>
      </w:r>
      <w:r>
        <w:rPr>
          <w:rFonts w:ascii="Calibri" w:eastAsia="Times" w:hAnsi="Calibri" w:cs="Calibri"/>
          <w:sz w:val="24"/>
          <w:szCs w:val="24"/>
        </w:rPr>
        <w:t>years, federal revenues have been the lowest they’ve been as a share of the economy since 1950: Revenues have averaged 15.4 percent, compared to 20 percent during</w:t>
      </w:r>
      <w:r w:rsidRPr="00477E0F">
        <w:rPr>
          <w:rFonts w:ascii="Calibri" w:eastAsia="Times" w:hAnsi="Calibri" w:cs="Calibri"/>
          <w:sz w:val="24"/>
          <w:szCs w:val="24"/>
        </w:rPr>
        <w:t xml:space="preserve"> 1998-2001, the last time the federal budget was balanced.</w:t>
      </w:r>
      <w:r w:rsidRPr="00477E0F">
        <w:rPr>
          <w:rFonts w:ascii="Calibri" w:eastAsia="Times" w:hAnsi="Calibri" w:cs="Calibri"/>
          <w:sz w:val="24"/>
          <w:szCs w:val="20"/>
          <w:vertAlign w:val="superscript"/>
        </w:rPr>
        <w:endnoteReference w:id="5"/>
      </w:r>
      <w:r>
        <w:rPr>
          <w:rFonts w:ascii="Calibri" w:eastAsia="Times" w:hAnsi="Calibri" w:cs="Calibri"/>
          <w:sz w:val="24"/>
          <w:szCs w:val="24"/>
          <w:vertAlign w:val="superscript"/>
        </w:rPr>
        <w:t xml:space="preserve">  </w:t>
      </w:r>
    </w:p>
    <w:p w:rsidR="0065212B" w:rsidRDefault="0065212B" w:rsidP="00180119">
      <w:pPr>
        <w:pStyle w:val="ListParagraph"/>
        <w:tabs>
          <w:tab w:val="left" w:pos="2020"/>
          <w:tab w:val="left" w:pos="4190"/>
        </w:tabs>
        <w:spacing w:after="0" w:line="240" w:lineRule="auto"/>
        <w:ind w:left="0"/>
        <w:rPr>
          <w:rFonts w:ascii="Calibri" w:eastAsia="Times" w:hAnsi="Calibri" w:cs="Calibri"/>
          <w:b/>
          <w:sz w:val="24"/>
          <w:szCs w:val="24"/>
        </w:rPr>
      </w:pPr>
      <w:r>
        <w:rPr>
          <w:rFonts w:ascii="Calibri" w:eastAsia="Times" w:hAnsi="Calibri" w:cs="Calibri"/>
          <w:b/>
          <w:sz w:val="24"/>
          <w:szCs w:val="24"/>
        </w:rPr>
        <w:tab/>
      </w:r>
      <w:r w:rsidR="00180119">
        <w:rPr>
          <w:rFonts w:ascii="Calibri" w:eastAsia="Times" w:hAnsi="Calibri" w:cs="Calibri"/>
          <w:b/>
          <w:sz w:val="24"/>
          <w:szCs w:val="24"/>
        </w:rPr>
        <w:tab/>
      </w:r>
    </w:p>
    <w:p w:rsidR="0065212B" w:rsidRDefault="0065212B" w:rsidP="0065212B">
      <w:pPr>
        <w:spacing w:after="0" w:line="240" w:lineRule="auto"/>
        <w:rPr>
          <w:rFonts w:ascii="Calibri" w:eastAsia="Times" w:hAnsi="Calibri" w:cs="Calibri"/>
          <w:b/>
          <w:sz w:val="24"/>
          <w:szCs w:val="24"/>
        </w:rPr>
      </w:pPr>
      <w:r>
        <w:rPr>
          <w:rFonts w:ascii="Calibri" w:eastAsia="Times" w:hAnsi="Calibri" w:cs="Calibri"/>
          <w:sz w:val="24"/>
          <w:szCs w:val="24"/>
        </w:rPr>
        <w:t xml:space="preserve">The middle class and the poor are still bearing most of the burden when it comes to reducing the deficit. It’s time </w:t>
      </w:r>
      <w:r w:rsidR="001378DF">
        <w:rPr>
          <w:rFonts w:ascii="Calibri" w:eastAsia="Times" w:hAnsi="Calibri" w:cs="Calibri"/>
          <w:sz w:val="24"/>
          <w:szCs w:val="24"/>
        </w:rPr>
        <w:t xml:space="preserve">for </w:t>
      </w:r>
      <w:r>
        <w:rPr>
          <w:rFonts w:ascii="Calibri" w:eastAsia="Times" w:hAnsi="Calibri" w:cs="Calibri"/>
          <w:sz w:val="24"/>
          <w:szCs w:val="24"/>
        </w:rPr>
        <w:t xml:space="preserve">Congress </w:t>
      </w:r>
      <w:r w:rsidR="001378DF">
        <w:rPr>
          <w:rFonts w:ascii="Calibri" w:eastAsia="Times" w:hAnsi="Calibri" w:cs="Calibri"/>
          <w:sz w:val="24"/>
          <w:szCs w:val="24"/>
        </w:rPr>
        <w:t xml:space="preserve">to </w:t>
      </w:r>
      <w:r>
        <w:rPr>
          <w:rFonts w:ascii="Calibri" w:eastAsia="Times" w:hAnsi="Calibri" w:cs="Calibri"/>
          <w:sz w:val="24"/>
          <w:szCs w:val="24"/>
        </w:rPr>
        <w:t>require the richest 2 percent and corporations to pay their fair share of taxes, rather than cut Social Security, Medicare and Medicaid benefits, education and other vital programs.</w:t>
      </w:r>
      <w:r w:rsidRPr="00477E0F">
        <w:rPr>
          <w:rFonts w:ascii="Calibri" w:eastAsia="Times" w:hAnsi="Calibri" w:cs="Calibri"/>
          <w:sz w:val="24"/>
          <w:szCs w:val="24"/>
        </w:rPr>
        <w:t xml:space="preserve"> </w:t>
      </w:r>
      <w:r w:rsidR="004E5B1E">
        <w:rPr>
          <w:rFonts w:ascii="Calibri" w:eastAsia="Times" w:hAnsi="Calibri" w:cs="Calibri"/>
          <w:sz w:val="24"/>
          <w:szCs w:val="24"/>
        </w:rPr>
        <w:t>M</w:t>
      </w:r>
      <w:r w:rsidR="001378DF">
        <w:rPr>
          <w:rFonts w:ascii="Calibri" w:eastAsia="Times" w:hAnsi="Calibri" w:cs="Calibri"/>
          <w:sz w:val="24"/>
          <w:szCs w:val="24"/>
        </w:rPr>
        <w:t xml:space="preserve">ultiple </w:t>
      </w:r>
      <w:r>
        <w:rPr>
          <w:rFonts w:ascii="Calibri" w:eastAsia="Times" w:hAnsi="Calibri" w:cs="Calibri"/>
          <w:sz w:val="24"/>
          <w:szCs w:val="24"/>
        </w:rPr>
        <w:t xml:space="preserve">options for doing </w:t>
      </w:r>
      <w:r w:rsidR="001378DF">
        <w:rPr>
          <w:rFonts w:ascii="Calibri" w:eastAsia="Times" w:hAnsi="Calibri" w:cs="Calibri"/>
          <w:sz w:val="24"/>
          <w:szCs w:val="24"/>
        </w:rPr>
        <w:t xml:space="preserve">just </w:t>
      </w:r>
      <w:r>
        <w:rPr>
          <w:rFonts w:ascii="Calibri" w:eastAsia="Times" w:hAnsi="Calibri" w:cs="Calibri"/>
          <w:sz w:val="24"/>
          <w:szCs w:val="24"/>
        </w:rPr>
        <w:t>that</w:t>
      </w:r>
      <w:r w:rsidR="004E5B1E">
        <w:rPr>
          <w:rFonts w:ascii="Calibri" w:eastAsia="Times" w:hAnsi="Calibri" w:cs="Calibri"/>
          <w:sz w:val="24"/>
          <w:szCs w:val="24"/>
        </w:rPr>
        <w:t xml:space="preserve"> are </w:t>
      </w:r>
      <w:r w:rsidR="005D2268">
        <w:rPr>
          <w:rFonts w:ascii="Calibri" w:eastAsia="Times" w:hAnsi="Calibri" w:cs="Calibri"/>
          <w:sz w:val="24"/>
          <w:szCs w:val="24"/>
        </w:rPr>
        <w:t xml:space="preserve">described </w:t>
      </w:r>
      <w:r w:rsidR="004E5B1E">
        <w:rPr>
          <w:rFonts w:ascii="Calibri" w:eastAsia="Times" w:hAnsi="Calibri" w:cs="Calibri"/>
          <w:sz w:val="24"/>
          <w:szCs w:val="24"/>
        </w:rPr>
        <w:t>below</w:t>
      </w:r>
      <w:r>
        <w:rPr>
          <w:rFonts w:ascii="Calibri" w:eastAsia="Times" w:hAnsi="Calibri" w:cs="Calibri"/>
          <w:sz w:val="24"/>
          <w:szCs w:val="24"/>
        </w:rPr>
        <w:t>.</w:t>
      </w:r>
      <w:r w:rsidR="004E5B1E">
        <w:rPr>
          <w:rFonts w:ascii="Calibri" w:eastAsia="Times" w:hAnsi="Calibri" w:cs="Calibri"/>
          <w:sz w:val="24"/>
          <w:szCs w:val="24"/>
        </w:rPr>
        <w:t xml:space="preserve">  </w:t>
      </w:r>
    </w:p>
    <w:p w:rsidR="0065212B" w:rsidRDefault="0065212B" w:rsidP="00D05EBD">
      <w:pPr>
        <w:pStyle w:val="ListParagraph"/>
        <w:spacing w:after="0" w:line="240" w:lineRule="auto"/>
        <w:ind w:left="360"/>
        <w:rPr>
          <w:rFonts w:ascii="Calibri" w:eastAsia="Times" w:hAnsi="Calibri" w:cs="Calibri"/>
          <w:b/>
          <w:sz w:val="24"/>
          <w:szCs w:val="24"/>
        </w:rPr>
      </w:pPr>
    </w:p>
    <w:p w:rsidR="00BE4753" w:rsidRPr="00EC17DE" w:rsidRDefault="00C66723" w:rsidP="002B4419">
      <w:pPr>
        <w:pStyle w:val="ListParagraph"/>
        <w:numPr>
          <w:ilvl w:val="0"/>
          <w:numId w:val="20"/>
        </w:numPr>
        <w:spacing w:after="0" w:line="240" w:lineRule="auto"/>
        <w:ind w:left="360" w:hanging="360"/>
        <w:rPr>
          <w:rFonts w:eastAsia="Times New Roman" w:cs="Times New Roman"/>
          <w:b/>
          <w:sz w:val="28"/>
          <w:szCs w:val="28"/>
        </w:rPr>
      </w:pPr>
      <w:r>
        <w:rPr>
          <w:rFonts w:ascii="Calibri" w:eastAsia="Times" w:hAnsi="Calibri" w:cs="Calibri"/>
          <w:b/>
          <w:color w:val="0477AE"/>
          <w:sz w:val="28"/>
          <w:szCs w:val="28"/>
        </w:rPr>
        <w:t xml:space="preserve">End Tax </w:t>
      </w:r>
      <w:r w:rsidR="00BE4753" w:rsidRPr="00C66723">
        <w:rPr>
          <w:rFonts w:ascii="Calibri" w:eastAsia="Times" w:hAnsi="Calibri" w:cs="Calibri"/>
          <w:b/>
          <w:color w:val="0477AE"/>
          <w:sz w:val="28"/>
          <w:szCs w:val="28"/>
        </w:rPr>
        <w:t xml:space="preserve">Breaks </w:t>
      </w:r>
      <w:r w:rsidR="00E33A8C" w:rsidRPr="00C66723">
        <w:rPr>
          <w:rFonts w:ascii="Calibri" w:eastAsia="Times" w:hAnsi="Calibri" w:cs="Calibri"/>
          <w:b/>
          <w:color w:val="0477AE"/>
          <w:sz w:val="28"/>
          <w:szCs w:val="28"/>
        </w:rPr>
        <w:t xml:space="preserve">to Corporations for </w:t>
      </w:r>
      <w:r w:rsidR="00BE4753" w:rsidRPr="00C66723">
        <w:rPr>
          <w:rFonts w:ascii="Calibri" w:eastAsia="Times" w:hAnsi="Calibri" w:cs="Calibri"/>
          <w:b/>
          <w:color w:val="0477AE"/>
          <w:sz w:val="28"/>
          <w:szCs w:val="28"/>
        </w:rPr>
        <w:t>Shifting Jobs and Profits</w:t>
      </w:r>
      <w:r w:rsidR="00BE4753" w:rsidRPr="00C66723">
        <w:rPr>
          <w:rFonts w:eastAsia="Times New Roman" w:cs="Times New Roman"/>
          <w:b/>
          <w:sz w:val="28"/>
          <w:szCs w:val="28"/>
        </w:rPr>
        <w:t xml:space="preserve"> </w:t>
      </w:r>
      <w:r w:rsidR="00BE4753" w:rsidRPr="00C66723">
        <w:rPr>
          <w:rFonts w:ascii="Calibri" w:eastAsia="Times" w:hAnsi="Calibri" w:cs="Calibri"/>
          <w:b/>
          <w:color w:val="0477AE"/>
          <w:sz w:val="28"/>
          <w:szCs w:val="28"/>
        </w:rPr>
        <w:t>Offshore</w:t>
      </w:r>
    </w:p>
    <w:p w:rsidR="00BE4753" w:rsidRPr="00C66723" w:rsidRDefault="00BE4753" w:rsidP="00C66723">
      <w:pPr>
        <w:pStyle w:val="ListParagraph"/>
        <w:spacing w:after="0" w:line="240" w:lineRule="auto"/>
        <w:ind w:left="360"/>
        <w:rPr>
          <w:rFonts w:ascii="Calibri" w:eastAsia="Times" w:hAnsi="Calibri" w:cs="Calibri"/>
          <w:b/>
          <w:color w:val="0477AE"/>
          <w:sz w:val="24"/>
          <w:szCs w:val="24"/>
        </w:rPr>
      </w:pPr>
      <w:r w:rsidRPr="00C66723">
        <w:rPr>
          <w:rFonts w:ascii="Calibri" w:eastAsia="Times" w:hAnsi="Calibri" w:cs="Calibri"/>
          <w:b/>
          <w:color w:val="0477AE"/>
          <w:sz w:val="24"/>
          <w:szCs w:val="24"/>
        </w:rPr>
        <w:t>Revenue:  $221</w:t>
      </w:r>
      <w:r w:rsidR="002B4419" w:rsidRPr="00C66723">
        <w:rPr>
          <w:rFonts w:ascii="Calibri" w:eastAsia="Times" w:hAnsi="Calibri" w:cs="Calibri"/>
          <w:b/>
          <w:color w:val="0477AE"/>
          <w:sz w:val="24"/>
          <w:szCs w:val="24"/>
        </w:rPr>
        <w:t>-</w:t>
      </w:r>
      <w:r w:rsidRPr="00C66723">
        <w:rPr>
          <w:rFonts w:ascii="Calibri" w:eastAsia="Times" w:hAnsi="Calibri" w:cs="Calibri"/>
          <w:b/>
          <w:color w:val="0477AE"/>
          <w:sz w:val="24"/>
          <w:szCs w:val="24"/>
        </w:rPr>
        <w:t>606 billion over 10 years</w:t>
      </w:r>
      <w:r w:rsidR="002B4419" w:rsidRPr="00C66723">
        <w:rPr>
          <w:rFonts w:ascii="Calibri" w:eastAsia="Times" w:hAnsi="Calibri" w:cs="Calibri"/>
          <w:b/>
          <w:color w:val="0477AE"/>
          <w:sz w:val="24"/>
          <w:szCs w:val="24"/>
        </w:rPr>
        <w:t xml:space="preserve">; </w:t>
      </w:r>
      <w:r w:rsidRPr="00C66723">
        <w:rPr>
          <w:rFonts w:ascii="Calibri" w:eastAsia="Times" w:hAnsi="Calibri" w:cs="Calibri"/>
          <w:b/>
          <w:color w:val="0477AE"/>
          <w:sz w:val="24"/>
          <w:szCs w:val="24"/>
        </w:rPr>
        <w:t>Joint Committee on Taxation</w:t>
      </w:r>
      <w:r w:rsidR="008A153F" w:rsidRPr="00C66723">
        <w:rPr>
          <w:rFonts w:ascii="Calibri" w:eastAsia="Times" w:hAnsi="Calibri" w:cs="Calibri"/>
          <w:b/>
          <w:color w:val="0477AE"/>
          <w:sz w:val="24"/>
          <w:szCs w:val="24"/>
        </w:rPr>
        <w:t xml:space="preserve"> estimate</w:t>
      </w:r>
      <w:r w:rsidRPr="00C66723">
        <w:rPr>
          <w:rFonts w:ascii="Calibri" w:eastAsia="Times" w:hAnsi="Calibri" w:cs="Calibri"/>
          <w:b/>
          <w:color w:val="0477AE"/>
          <w:sz w:val="24"/>
          <w:szCs w:val="24"/>
        </w:rPr>
        <w:t xml:space="preserve"> updated by Citizens for Tax Justice </w:t>
      </w:r>
    </w:p>
    <w:p w:rsidR="00BE4753" w:rsidRDefault="00BE4753" w:rsidP="00BE4753">
      <w:pPr>
        <w:pStyle w:val="ListParagraph"/>
        <w:spacing w:after="0" w:line="240" w:lineRule="auto"/>
        <w:ind w:left="360"/>
        <w:rPr>
          <w:rFonts w:cs="Calibri"/>
          <w:color w:val="000000"/>
          <w:sz w:val="24"/>
          <w:szCs w:val="24"/>
        </w:rPr>
      </w:pPr>
    </w:p>
    <w:p w:rsidR="00BE4753" w:rsidRPr="00A273DA" w:rsidRDefault="00BE4753" w:rsidP="00BE4753">
      <w:pPr>
        <w:pStyle w:val="ListParagraph"/>
        <w:spacing w:after="0" w:line="240" w:lineRule="auto"/>
        <w:ind w:left="360"/>
        <w:rPr>
          <w:rFonts w:cs="Calibri"/>
          <w:color w:val="000000"/>
          <w:sz w:val="24"/>
          <w:szCs w:val="24"/>
        </w:rPr>
      </w:pPr>
      <w:r>
        <w:rPr>
          <w:rFonts w:cs="Calibri"/>
          <w:color w:val="000000"/>
          <w:sz w:val="24"/>
          <w:szCs w:val="24"/>
        </w:rPr>
        <w:t xml:space="preserve">The largest corporate tax loopholes are those that allow multinational corporations to avoid U.S. tax by locating investments or profits offshore. The fundamental </w:t>
      </w:r>
      <w:r w:rsidR="006B4430">
        <w:rPr>
          <w:rFonts w:cs="Calibri"/>
          <w:color w:val="000000"/>
          <w:sz w:val="24"/>
          <w:szCs w:val="24"/>
        </w:rPr>
        <w:t xml:space="preserve"> way in which </w:t>
      </w:r>
      <w:r>
        <w:rPr>
          <w:rFonts w:cs="Calibri"/>
          <w:color w:val="000000"/>
          <w:sz w:val="24"/>
          <w:szCs w:val="24"/>
        </w:rPr>
        <w:t xml:space="preserve">our tax system </w:t>
      </w:r>
      <w:r w:rsidR="001378DF">
        <w:rPr>
          <w:rFonts w:cs="Calibri"/>
          <w:color w:val="000000"/>
          <w:sz w:val="24"/>
          <w:szCs w:val="24"/>
        </w:rPr>
        <w:t xml:space="preserve">encourages </w:t>
      </w:r>
      <w:r>
        <w:rPr>
          <w:rFonts w:cs="Calibri"/>
          <w:color w:val="000000"/>
          <w:sz w:val="24"/>
          <w:szCs w:val="24"/>
        </w:rPr>
        <w:t>the offshoring of jobs and corporate profits is that U.S. multinationals are allowed to “defer” (delay)</w:t>
      </w:r>
      <w:r w:rsidRPr="00A273DA">
        <w:rPr>
          <w:rFonts w:cs="Calibri"/>
          <w:color w:val="000000"/>
          <w:sz w:val="24"/>
          <w:szCs w:val="24"/>
        </w:rPr>
        <w:t xml:space="preserve"> paying</w:t>
      </w:r>
      <w:r>
        <w:rPr>
          <w:rFonts w:cs="Calibri"/>
          <w:color w:val="000000"/>
          <w:sz w:val="24"/>
          <w:szCs w:val="24"/>
        </w:rPr>
        <w:t xml:space="preserve"> taxes on the profits of their overseas subsidiaries until those profits are “repatriated” (brought back to the U.S.).  </w:t>
      </w:r>
      <w:r w:rsidRPr="00A273DA">
        <w:rPr>
          <w:rFonts w:cs="Calibri"/>
          <w:color w:val="000000"/>
          <w:sz w:val="24"/>
          <w:szCs w:val="24"/>
        </w:rPr>
        <w:t>As the Congressional Budget Office</w:t>
      </w:r>
      <w:r w:rsidR="003867AC">
        <w:rPr>
          <w:rFonts w:cs="Calibri"/>
          <w:color w:val="000000"/>
          <w:sz w:val="24"/>
          <w:szCs w:val="24"/>
        </w:rPr>
        <w:t xml:space="preserve"> (CBO)</w:t>
      </w:r>
      <w:r w:rsidRPr="00A273DA">
        <w:rPr>
          <w:rFonts w:cs="Calibri"/>
          <w:color w:val="000000"/>
          <w:sz w:val="24"/>
          <w:szCs w:val="24"/>
        </w:rPr>
        <w:t xml:space="preserve"> explains:</w:t>
      </w:r>
    </w:p>
    <w:p w:rsidR="00BE4753" w:rsidRDefault="00BE4753" w:rsidP="00BE4753">
      <w:pPr>
        <w:pStyle w:val="ListParagraph"/>
        <w:spacing w:after="0" w:line="240" w:lineRule="auto"/>
        <w:ind w:left="360"/>
        <w:rPr>
          <w:rFonts w:cs="Calibri"/>
          <w:color w:val="000000"/>
          <w:sz w:val="24"/>
          <w:szCs w:val="24"/>
        </w:rPr>
      </w:pPr>
    </w:p>
    <w:p w:rsidR="00BE4753" w:rsidRPr="008A7EC8" w:rsidRDefault="00BE4753" w:rsidP="00BE4753">
      <w:pPr>
        <w:pStyle w:val="ListParagraph"/>
        <w:spacing w:after="0" w:line="240" w:lineRule="auto"/>
        <w:ind w:right="720"/>
        <w:rPr>
          <w:i/>
          <w:color w:val="333333"/>
          <w:sz w:val="24"/>
          <w:szCs w:val="24"/>
          <w:shd w:val="clear" w:color="auto" w:fill="FFFFFF"/>
        </w:rPr>
      </w:pPr>
      <w:r w:rsidRPr="008A7EC8">
        <w:rPr>
          <w:i/>
          <w:color w:val="333333"/>
          <w:sz w:val="24"/>
          <w:szCs w:val="24"/>
          <w:shd w:val="clear" w:color="auto" w:fill="FFFFFF"/>
        </w:rPr>
        <w:t>The current tax system provides incentives for U.S. firms to locate their production facilities in countries with low taxes as a way to reduce their tax liability at home. Those responses to the tax system reduce economic efficiency because the firms are not allocating resources to their most productive use…The current system also creates incentives to shift reported income to low-tax countries without changing actual investment decisions</w:t>
      </w:r>
      <w:r>
        <w:rPr>
          <w:i/>
          <w:color w:val="333333"/>
          <w:sz w:val="24"/>
          <w:szCs w:val="24"/>
          <w:shd w:val="clear" w:color="auto" w:fill="FFFFFF"/>
        </w:rPr>
        <w:t>.</w:t>
      </w:r>
      <w:r w:rsidRPr="008A7EC8">
        <w:rPr>
          <w:rStyle w:val="EndnoteReference"/>
          <w:i/>
          <w:color w:val="333333"/>
          <w:sz w:val="24"/>
          <w:szCs w:val="24"/>
          <w:shd w:val="clear" w:color="auto" w:fill="FFFFFF"/>
        </w:rPr>
        <w:endnoteReference w:id="6"/>
      </w:r>
    </w:p>
    <w:p w:rsidR="00BE4753" w:rsidRDefault="00BE4753" w:rsidP="00BE4753">
      <w:pPr>
        <w:pStyle w:val="ListParagraph"/>
        <w:spacing w:after="0" w:line="240" w:lineRule="auto"/>
        <w:ind w:left="360"/>
        <w:rPr>
          <w:color w:val="333333"/>
          <w:shd w:val="clear" w:color="auto" w:fill="FFFFFF"/>
        </w:rPr>
      </w:pPr>
    </w:p>
    <w:p w:rsidR="00BE4753" w:rsidRDefault="00BE4753" w:rsidP="00BE4753">
      <w:pPr>
        <w:pStyle w:val="ListParagraph"/>
        <w:spacing w:after="0" w:line="240" w:lineRule="auto"/>
        <w:ind w:left="360"/>
        <w:rPr>
          <w:color w:val="333333"/>
          <w:sz w:val="24"/>
          <w:szCs w:val="24"/>
          <w:shd w:val="clear" w:color="auto" w:fill="FFFFFF"/>
        </w:rPr>
      </w:pPr>
      <w:r w:rsidRPr="00321CE1">
        <w:rPr>
          <w:color w:val="333333"/>
          <w:sz w:val="24"/>
          <w:szCs w:val="24"/>
          <w:shd w:val="clear" w:color="auto" w:fill="FFFFFF"/>
        </w:rPr>
        <w:t xml:space="preserve">In other words, our tax code subsidizes companies that </w:t>
      </w:r>
      <w:r>
        <w:rPr>
          <w:color w:val="333333"/>
          <w:sz w:val="24"/>
          <w:szCs w:val="24"/>
          <w:shd w:val="clear" w:color="auto" w:fill="FFFFFF"/>
        </w:rPr>
        <w:t>shift profits and actual operations</w:t>
      </w:r>
      <w:r w:rsidRPr="00321CE1">
        <w:rPr>
          <w:color w:val="333333"/>
          <w:sz w:val="24"/>
          <w:szCs w:val="24"/>
          <w:shd w:val="clear" w:color="auto" w:fill="FFFFFF"/>
        </w:rPr>
        <w:t xml:space="preserve"> overseas, which costs </w:t>
      </w:r>
      <w:r>
        <w:rPr>
          <w:color w:val="333333"/>
          <w:sz w:val="24"/>
          <w:szCs w:val="24"/>
          <w:shd w:val="clear" w:color="auto" w:fill="FFFFFF"/>
        </w:rPr>
        <w:t xml:space="preserve">revenue and </w:t>
      </w:r>
      <w:r w:rsidRPr="00321CE1">
        <w:rPr>
          <w:color w:val="333333"/>
          <w:sz w:val="24"/>
          <w:szCs w:val="24"/>
          <w:shd w:val="clear" w:color="auto" w:fill="FFFFFF"/>
        </w:rPr>
        <w:t>jobs and ultimately drives down the wages of U.S. workers. The use of dodgy accounting schemes to shift corporate profits to offshore tax havens costs the U</w:t>
      </w:r>
      <w:r w:rsidR="003867AC">
        <w:rPr>
          <w:color w:val="333333"/>
          <w:sz w:val="24"/>
          <w:szCs w:val="24"/>
          <w:shd w:val="clear" w:color="auto" w:fill="FFFFFF"/>
        </w:rPr>
        <w:t xml:space="preserve">nited States </w:t>
      </w:r>
      <w:r w:rsidRPr="00321CE1">
        <w:rPr>
          <w:color w:val="333333"/>
          <w:sz w:val="24"/>
          <w:szCs w:val="24"/>
          <w:shd w:val="clear" w:color="auto" w:fill="FFFFFF"/>
        </w:rPr>
        <w:t xml:space="preserve">as much as $90 billion </w:t>
      </w:r>
      <w:r w:rsidR="00E13EA4">
        <w:rPr>
          <w:color w:val="333333"/>
          <w:sz w:val="24"/>
          <w:szCs w:val="24"/>
          <w:shd w:val="clear" w:color="auto" w:fill="FFFFFF"/>
        </w:rPr>
        <w:t>a</w:t>
      </w:r>
      <w:r w:rsidRPr="00321CE1">
        <w:rPr>
          <w:color w:val="333333"/>
          <w:sz w:val="24"/>
          <w:szCs w:val="24"/>
          <w:shd w:val="clear" w:color="auto" w:fill="FFFFFF"/>
        </w:rPr>
        <w:t xml:space="preserve"> year in revenue.</w:t>
      </w:r>
      <w:r w:rsidRPr="00321CE1">
        <w:rPr>
          <w:rStyle w:val="EndnoteReference"/>
          <w:color w:val="333333"/>
          <w:sz w:val="24"/>
          <w:szCs w:val="24"/>
          <w:shd w:val="clear" w:color="auto" w:fill="FFFFFF"/>
        </w:rPr>
        <w:endnoteReference w:id="7"/>
      </w:r>
      <w:r w:rsidRPr="00321CE1">
        <w:rPr>
          <w:color w:val="333333"/>
          <w:sz w:val="24"/>
          <w:szCs w:val="24"/>
          <w:shd w:val="clear" w:color="auto" w:fill="FFFFFF"/>
        </w:rPr>
        <w:t xml:space="preserve">  Reforms are </w:t>
      </w:r>
      <w:r w:rsidRPr="00321CE1">
        <w:rPr>
          <w:color w:val="333333"/>
          <w:sz w:val="24"/>
          <w:szCs w:val="24"/>
          <w:shd w:val="clear" w:color="auto" w:fill="FFFFFF"/>
        </w:rPr>
        <w:lastRenderedPageBreak/>
        <w:t>needed to stanch this massive revenue loss and level the playing field for investment and job creation in the United States.</w:t>
      </w:r>
    </w:p>
    <w:p w:rsidR="00F33F66" w:rsidRPr="00321CE1" w:rsidRDefault="00F33F66" w:rsidP="00BE4753">
      <w:pPr>
        <w:pStyle w:val="ListParagraph"/>
        <w:spacing w:after="0" w:line="240" w:lineRule="auto"/>
        <w:ind w:left="360"/>
        <w:rPr>
          <w:color w:val="333333"/>
          <w:sz w:val="24"/>
          <w:szCs w:val="24"/>
          <w:shd w:val="clear" w:color="auto" w:fill="FFFFFF"/>
        </w:rPr>
      </w:pPr>
    </w:p>
    <w:p w:rsidR="00BE4753" w:rsidRPr="00321CE1" w:rsidRDefault="00BE4753" w:rsidP="00BE4753">
      <w:pPr>
        <w:pStyle w:val="ListParagraph"/>
        <w:spacing w:after="0" w:line="240" w:lineRule="auto"/>
        <w:ind w:left="360"/>
        <w:rPr>
          <w:rFonts w:cs="Calibri"/>
          <w:color w:val="000000"/>
          <w:sz w:val="24"/>
          <w:szCs w:val="24"/>
        </w:rPr>
      </w:pPr>
      <w:r w:rsidRPr="00321CE1">
        <w:rPr>
          <w:color w:val="333333"/>
          <w:sz w:val="24"/>
          <w:szCs w:val="24"/>
          <w:shd w:val="clear" w:color="auto" w:fill="FFFFFF"/>
        </w:rPr>
        <w:t>There are two basic approaches to addressing tax breaks for corporate offshoring</w:t>
      </w:r>
      <w:r>
        <w:rPr>
          <w:color w:val="333333"/>
          <w:sz w:val="24"/>
          <w:szCs w:val="24"/>
          <w:shd w:val="clear" w:color="auto" w:fill="FFFFFF"/>
        </w:rPr>
        <w:t>.</w:t>
      </w:r>
      <w:r w:rsidRPr="00321CE1">
        <w:rPr>
          <w:color w:val="333333"/>
          <w:sz w:val="24"/>
          <w:szCs w:val="24"/>
          <w:shd w:val="clear" w:color="auto" w:fill="FFFFFF"/>
        </w:rPr>
        <w:t xml:space="preserve"> </w:t>
      </w:r>
      <w:r>
        <w:rPr>
          <w:color w:val="333333"/>
          <w:sz w:val="24"/>
          <w:szCs w:val="24"/>
          <w:shd w:val="clear" w:color="auto" w:fill="FFFFFF"/>
        </w:rPr>
        <w:t xml:space="preserve">The stronger approach would </w:t>
      </w:r>
      <w:r w:rsidRPr="00321CE1">
        <w:rPr>
          <w:color w:val="333333"/>
          <w:sz w:val="24"/>
          <w:szCs w:val="24"/>
          <w:shd w:val="clear" w:color="auto" w:fill="FFFFFF"/>
        </w:rPr>
        <w:t>repeal deferral entirely</w:t>
      </w:r>
      <w:r>
        <w:rPr>
          <w:color w:val="333333"/>
          <w:sz w:val="24"/>
          <w:szCs w:val="24"/>
          <w:shd w:val="clear" w:color="auto" w:fill="FFFFFF"/>
        </w:rPr>
        <w:t>.</w:t>
      </w:r>
      <w:r w:rsidRPr="00321CE1">
        <w:rPr>
          <w:color w:val="333333"/>
          <w:sz w:val="24"/>
          <w:szCs w:val="24"/>
          <w:shd w:val="clear" w:color="auto" w:fill="FFFFFF"/>
        </w:rPr>
        <w:t xml:space="preserve"> </w:t>
      </w:r>
      <w:r>
        <w:rPr>
          <w:color w:val="333333"/>
          <w:sz w:val="24"/>
          <w:szCs w:val="24"/>
          <w:shd w:val="clear" w:color="auto" w:fill="FFFFFF"/>
        </w:rPr>
        <w:t>The more modest approach would</w:t>
      </w:r>
      <w:r w:rsidRPr="00321CE1">
        <w:rPr>
          <w:color w:val="333333"/>
          <w:sz w:val="24"/>
          <w:szCs w:val="24"/>
          <w:shd w:val="clear" w:color="auto" w:fill="FFFFFF"/>
        </w:rPr>
        <w:t xml:space="preserve"> clos</w:t>
      </w:r>
      <w:r>
        <w:rPr>
          <w:color w:val="333333"/>
          <w:sz w:val="24"/>
          <w:szCs w:val="24"/>
          <w:shd w:val="clear" w:color="auto" w:fill="FFFFFF"/>
        </w:rPr>
        <w:t>e</w:t>
      </w:r>
      <w:r w:rsidRPr="00321CE1">
        <w:rPr>
          <w:color w:val="333333"/>
          <w:sz w:val="24"/>
          <w:szCs w:val="24"/>
          <w:shd w:val="clear" w:color="auto" w:fill="FFFFFF"/>
        </w:rPr>
        <w:t xml:space="preserve"> </w:t>
      </w:r>
      <w:r>
        <w:rPr>
          <w:color w:val="333333"/>
          <w:sz w:val="24"/>
          <w:szCs w:val="24"/>
          <w:shd w:val="clear" w:color="auto" w:fill="FFFFFF"/>
        </w:rPr>
        <w:t>various</w:t>
      </w:r>
      <w:r w:rsidRPr="00321CE1">
        <w:rPr>
          <w:color w:val="333333"/>
          <w:sz w:val="24"/>
          <w:szCs w:val="24"/>
          <w:shd w:val="clear" w:color="auto" w:fill="FFFFFF"/>
        </w:rPr>
        <w:t xml:space="preserve"> loopholes</w:t>
      </w:r>
      <w:r>
        <w:rPr>
          <w:color w:val="333333"/>
          <w:sz w:val="24"/>
          <w:szCs w:val="24"/>
          <w:shd w:val="clear" w:color="auto" w:fill="FFFFFF"/>
        </w:rPr>
        <w:t xml:space="preserve"> that </w:t>
      </w:r>
      <w:r w:rsidR="006267DA">
        <w:rPr>
          <w:color w:val="333333"/>
          <w:sz w:val="24"/>
          <w:szCs w:val="24"/>
          <w:shd w:val="clear" w:color="auto" w:fill="FFFFFF"/>
        </w:rPr>
        <w:t>subsidize offshoring and allow tax avoidance.</w:t>
      </w:r>
    </w:p>
    <w:p w:rsidR="00BE4753" w:rsidRPr="00477E0F" w:rsidRDefault="00BE4753" w:rsidP="00BE4753">
      <w:pPr>
        <w:spacing w:after="0" w:line="240" w:lineRule="auto"/>
        <w:rPr>
          <w:rFonts w:ascii="Times" w:hAnsi="Times" w:cs="Calibri"/>
          <w:sz w:val="24"/>
          <w:szCs w:val="24"/>
        </w:rPr>
      </w:pPr>
    </w:p>
    <w:p w:rsidR="00BE4753" w:rsidRPr="00C66723" w:rsidRDefault="00E13EA4" w:rsidP="00180119">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End the A</w:t>
      </w:r>
      <w:r w:rsidR="00BE4753" w:rsidRPr="00C66723">
        <w:rPr>
          <w:rFonts w:ascii="Calibri" w:eastAsia="Times" w:hAnsi="Calibri" w:cs="Calibri"/>
          <w:b/>
          <w:color w:val="0477AE"/>
          <w:sz w:val="24"/>
          <w:szCs w:val="24"/>
        </w:rPr>
        <w:t xml:space="preserve">bility of U.S. </w:t>
      </w:r>
      <w:r w:rsidRPr="00C66723">
        <w:rPr>
          <w:rFonts w:ascii="Calibri" w:eastAsia="Times" w:hAnsi="Calibri" w:cs="Calibri"/>
          <w:b/>
          <w:color w:val="0477AE"/>
          <w:sz w:val="24"/>
          <w:szCs w:val="24"/>
        </w:rPr>
        <w:t>C</w:t>
      </w:r>
      <w:r w:rsidR="00BE4753" w:rsidRPr="00C66723">
        <w:rPr>
          <w:rFonts w:ascii="Calibri" w:eastAsia="Times" w:hAnsi="Calibri" w:cs="Calibri"/>
          <w:b/>
          <w:color w:val="0477AE"/>
          <w:sz w:val="24"/>
          <w:szCs w:val="24"/>
        </w:rPr>
        <w:t xml:space="preserve">orporations to </w:t>
      </w:r>
      <w:r w:rsidRPr="00C66723">
        <w:rPr>
          <w:rFonts w:ascii="Calibri" w:eastAsia="Times" w:hAnsi="Calibri" w:cs="Calibri"/>
          <w:b/>
          <w:color w:val="0477AE"/>
          <w:sz w:val="24"/>
          <w:szCs w:val="24"/>
        </w:rPr>
        <w:t>D</w:t>
      </w:r>
      <w:r w:rsidR="00BE4753" w:rsidRPr="00C66723">
        <w:rPr>
          <w:rFonts w:ascii="Calibri" w:eastAsia="Times" w:hAnsi="Calibri" w:cs="Calibri"/>
          <w:b/>
          <w:color w:val="0477AE"/>
          <w:sz w:val="24"/>
          <w:szCs w:val="24"/>
        </w:rPr>
        <w:t xml:space="preserve">elay </w:t>
      </w:r>
      <w:r w:rsidRPr="00C66723">
        <w:rPr>
          <w:rFonts w:ascii="Calibri" w:eastAsia="Times" w:hAnsi="Calibri" w:cs="Calibri"/>
          <w:b/>
          <w:color w:val="0477AE"/>
          <w:sz w:val="24"/>
          <w:szCs w:val="24"/>
        </w:rPr>
        <w:t>P</w:t>
      </w:r>
      <w:r w:rsidR="00BE4753" w:rsidRPr="00C66723">
        <w:rPr>
          <w:rFonts w:ascii="Calibri" w:eastAsia="Times" w:hAnsi="Calibri" w:cs="Calibri"/>
          <w:b/>
          <w:color w:val="0477AE"/>
          <w:sz w:val="24"/>
          <w:szCs w:val="24"/>
        </w:rPr>
        <w:t xml:space="preserve">aying </w:t>
      </w:r>
      <w:r w:rsidRPr="00C66723">
        <w:rPr>
          <w:rFonts w:ascii="Calibri" w:eastAsia="Times" w:hAnsi="Calibri" w:cs="Calibri"/>
          <w:b/>
          <w:color w:val="0477AE"/>
          <w:sz w:val="24"/>
          <w:szCs w:val="24"/>
        </w:rPr>
        <w:t>T</w:t>
      </w:r>
      <w:r w:rsidR="00BE4753" w:rsidRPr="00C66723">
        <w:rPr>
          <w:rFonts w:ascii="Calibri" w:eastAsia="Times" w:hAnsi="Calibri" w:cs="Calibri"/>
          <w:b/>
          <w:color w:val="0477AE"/>
          <w:sz w:val="24"/>
          <w:szCs w:val="24"/>
        </w:rPr>
        <w:t xml:space="preserve">axes on </w:t>
      </w:r>
      <w:r w:rsidRPr="00C66723">
        <w:rPr>
          <w:rFonts w:ascii="Calibri" w:eastAsia="Times" w:hAnsi="Calibri" w:cs="Calibri"/>
          <w:b/>
          <w:color w:val="0477AE"/>
          <w:sz w:val="24"/>
          <w:szCs w:val="24"/>
        </w:rPr>
        <w:t>F</w:t>
      </w:r>
      <w:r w:rsidR="00BE4753" w:rsidRPr="00C66723">
        <w:rPr>
          <w:rFonts w:ascii="Calibri" w:eastAsia="Times" w:hAnsi="Calibri" w:cs="Calibri"/>
          <w:b/>
          <w:color w:val="0477AE"/>
          <w:sz w:val="24"/>
          <w:szCs w:val="24"/>
        </w:rPr>
        <w:t xml:space="preserve">oreign </w:t>
      </w:r>
      <w:r w:rsidRPr="00C66723">
        <w:rPr>
          <w:rFonts w:ascii="Calibri" w:eastAsia="Times" w:hAnsi="Calibri" w:cs="Calibri"/>
          <w:b/>
          <w:color w:val="0477AE"/>
          <w:sz w:val="24"/>
          <w:szCs w:val="24"/>
        </w:rPr>
        <w:t>P</w:t>
      </w:r>
      <w:r w:rsidR="00BE4753" w:rsidRPr="00C66723">
        <w:rPr>
          <w:rFonts w:ascii="Calibri" w:eastAsia="Times" w:hAnsi="Calibri" w:cs="Calibri"/>
          <w:b/>
          <w:color w:val="0477AE"/>
          <w:sz w:val="24"/>
          <w:szCs w:val="24"/>
        </w:rPr>
        <w:t xml:space="preserve">rofits </w:t>
      </w:r>
      <w:r w:rsidRPr="00C66723">
        <w:rPr>
          <w:rFonts w:ascii="Calibri" w:eastAsia="Times" w:hAnsi="Calibri" w:cs="Calibri"/>
          <w:b/>
          <w:color w:val="0477AE"/>
          <w:sz w:val="24"/>
          <w:szCs w:val="24"/>
        </w:rPr>
        <w:t>by R</w:t>
      </w:r>
      <w:r w:rsidR="00BE4753" w:rsidRPr="00C66723">
        <w:rPr>
          <w:rFonts w:ascii="Calibri" w:eastAsia="Times" w:hAnsi="Calibri" w:cs="Calibri"/>
          <w:b/>
          <w:color w:val="0477AE"/>
          <w:sz w:val="24"/>
          <w:szCs w:val="24"/>
        </w:rPr>
        <w:t>epeal</w:t>
      </w:r>
      <w:r w:rsidRPr="00C66723">
        <w:rPr>
          <w:rFonts w:ascii="Calibri" w:eastAsia="Times" w:hAnsi="Calibri" w:cs="Calibri"/>
          <w:b/>
          <w:color w:val="0477AE"/>
          <w:sz w:val="24"/>
          <w:szCs w:val="24"/>
        </w:rPr>
        <w:t>ing</w:t>
      </w:r>
      <w:r w:rsidR="00BE4753" w:rsidRPr="00C66723">
        <w:rPr>
          <w:rFonts w:ascii="Calibri" w:eastAsia="Times" w:hAnsi="Calibri" w:cs="Calibri"/>
          <w:b/>
          <w:color w:val="0477AE"/>
          <w:sz w:val="24"/>
          <w:szCs w:val="24"/>
        </w:rPr>
        <w:t xml:space="preserve"> “</w:t>
      </w:r>
      <w:r w:rsidRPr="00C66723">
        <w:rPr>
          <w:rFonts w:ascii="Calibri" w:eastAsia="Times" w:hAnsi="Calibri" w:cs="Calibri"/>
          <w:b/>
          <w:color w:val="0477AE"/>
          <w:sz w:val="24"/>
          <w:szCs w:val="24"/>
        </w:rPr>
        <w:t>D</w:t>
      </w:r>
      <w:r w:rsidR="00BE4753" w:rsidRPr="00C66723">
        <w:rPr>
          <w:rFonts w:ascii="Calibri" w:eastAsia="Times" w:hAnsi="Calibri" w:cs="Calibri"/>
          <w:b/>
          <w:color w:val="0477AE"/>
          <w:sz w:val="24"/>
          <w:szCs w:val="24"/>
        </w:rPr>
        <w:t>eferral”</w:t>
      </w:r>
    </w:p>
    <w:p w:rsidR="00BE4753" w:rsidRPr="00C66723" w:rsidRDefault="00BE4753" w:rsidP="00180119">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Revenue: $606 billion over </w:t>
      </w:r>
      <w:r w:rsidR="00E13EA4" w:rsidRPr="00C66723">
        <w:rPr>
          <w:rFonts w:ascii="Calibri" w:eastAsia="Times" w:hAnsi="Calibri" w:cs="Calibri"/>
          <w:b/>
          <w:color w:val="0477AE"/>
          <w:sz w:val="24"/>
          <w:szCs w:val="24"/>
        </w:rPr>
        <w:t>10</w:t>
      </w:r>
      <w:r w:rsidRPr="00C66723">
        <w:rPr>
          <w:rFonts w:ascii="Calibri" w:eastAsia="Times" w:hAnsi="Calibri" w:cs="Calibri"/>
          <w:b/>
          <w:color w:val="0477AE"/>
          <w:sz w:val="24"/>
          <w:szCs w:val="24"/>
        </w:rPr>
        <w:t xml:space="preserve"> years</w:t>
      </w:r>
      <w:r w:rsidR="00E13EA4" w:rsidRPr="00C66723">
        <w:rPr>
          <w:rFonts w:ascii="Calibri" w:eastAsia="Times" w:hAnsi="Calibri" w:cs="Calibri"/>
          <w:b/>
          <w:color w:val="0477AE"/>
          <w:sz w:val="24"/>
          <w:szCs w:val="24"/>
        </w:rPr>
        <w:t xml:space="preserve">; </w:t>
      </w:r>
      <w:r w:rsidRPr="00C66723">
        <w:rPr>
          <w:rFonts w:ascii="Calibri" w:eastAsia="Times" w:hAnsi="Calibri" w:cs="Calibri"/>
          <w:b/>
          <w:color w:val="0477AE"/>
          <w:sz w:val="24"/>
          <w:szCs w:val="24"/>
        </w:rPr>
        <w:t>Joint Committee on Taxation estimate updated by Citizens for Tax Justice</w:t>
      </w:r>
    </w:p>
    <w:p w:rsidR="00BE4753" w:rsidRPr="00477E0F" w:rsidRDefault="00BE4753" w:rsidP="00EC17DE">
      <w:pPr>
        <w:spacing w:after="0" w:line="240" w:lineRule="auto"/>
        <w:ind w:left="720"/>
        <w:contextualSpacing/>
        <w:rPr>
          <w:rFonts w:cs="Calibri"/>
          <w:sz w:val="24"/>
          <w:szCs w:val="24"/>
        </w:rPr>
      </w:pPr>
    </w:p>
    <w:p w:rsidR="00E13EA4" w:rsidRDefault="00BE4753" w:rsidP="00EC17DE">
      <w:pPr>
        <w:spacing w:after="0" w:line="240" w:lineRule="auto"/>
        <w:ind w:left="720"/>
        <w:contextualSpacing/>
        <w:rPr>
          <w:rFonts w:cs="Calibri"/>
          <w:sz w:val="24"/>
          <w:szCs w:val="24"/>
        </w:rPr>
      </w:pPr>
      <w:r>
        <w:rPr>
          <w:rFonts w:cs="Calibri"/>
          <w:sz w:val="24"/>
          <w:szCs w:val="24"/>
        </w:rPr>
        <w:t>T</w:t>
      </w:r>
      <w:r w:rsidRPr="00477E0F">
        <w:rPr>
          <w:rFonts w:cs="Calibri"/>
          <w:sz w:val="24"/>
          <w:szCs w:val="24"/>
        </w:rPr>
        <w:t>he way to completely remove the tax incentives to send</w:t>
      </w:r>
      <w:r>
        <w:rPr>
          <w:rFonts w:cs="Calibri"/>
          <w:sz w:val="24"/>
          <w:szCs w:val="24"/>
        </w:rPr>
        <w:t xml:space="preserve"> jobs and profits offshore is</w:t>
      </w:r>
      <w:r w:rsidRPr="00477E0F">
        <w:rPr>
          <w:rFonts w:cs="Calibri"/>
          <w:sz w:val="24"/>
          <w:szCs w:val="24"/>
        </w:rPr>
        <w:t xml:space="preserve"> simply </w:t>
      </w:r>
      <w:r>
        <w:rPr>
          <w:rFonts w:cs="Calibri"/>
          <w:sz w:val="24"/>
          <w:szCs w:val="24"/>
        </w:rPr>
        <w:t xml:space="preserve">to </w:t>
      </w:r>
      <w:r w:rsidRPr="00477E0F">
        <w:rPr>
          <w:rFonts w:cs="Calibri"/>
          <w:sz w:val="24"/>
          <w:szCs w:val="24"/>
        </w:rPr>
        <w:t>repeal deferral</w:t>
      </w:r>
      <w:r w:rsidR="006B4430">
        <w:rPr>
          <w:rFonts w:cs="Calibri"/>
          <w:sz w:val="24"/>
          <w:szCs w:val="24"/>
        </w:rPr>
        <w:t>.</w:t>
      </w:r>
      <w:r w:rsidR="00E13EA4">
        <w:rPr>
          <w:rFonts w:cs="Calibri"/>
          <w:sz w:val="24"/>
          <w:szCs w:val="24"/>
        </w:rPr>
        <w:t xml:space="preserve"> </w:t>
      </w:r>
      <w:r w:rsidR="006B4430">
        <w:rPr>
          <w:rFonts w:cs="Calibri"/>
          <w:sz w:val="24"/>
          <w:szCs w:val="24"/>
        </w:rPr>
        <w:t>T</w:t>
      </w:r>
      <w:r w:rsidR="00E13EA4">
        <w:rPr>
          <w:rFonts w:cs="Calibri"/>
          <w:sz w:val="24"/>
          <w:szCs w:val="24"/>
        </w:rPr>
        <w:t xml:space="preserve">hen </w:t>
      </w:r>
      <w:r w:rsidRPr="00477E0F">
        <w:rPr>
          <w:rFonts w:cs="Calibri"/>
          <w:sz w:val="24"/>
          <w:szCs w:val="24"/>
        </w:rPr>
        <w:t xml:space="preserve">U.S. corporations would </w:t>
      </w:r>
      <w:r>
        <w:rPr>
          <w:rFonts w:cs="Calibri"/>
          <w:sz w:val="24"/>
          <w:szCs w:val="24"/>
        </w:rPr>
        <w:t>pay current U.S. taxes on their foreign profits</w:t>
      </w:r>
      <w:r w:rsidR="00180119">
        <w:rPr>
          <w:rFonts w:cs="Calibri"/>
          <w:sz w:val="24"/>
          <w:szCs w:val="24"/>
        </w:rPr>
        <w:t>,</w:t>
      </w:r>
      <w:r>
        <w:rPr>
          <w:rFonts w:cs="Calibri"/>
          <w:sz w:val="24"/>
          <w:szCs w:val="24"/>
        </w:rPr>
        <w:t xml:space="preserve"> as they do on domestic profits. They would </w:t>
      </w:r>
      <w:r w:rsidRPr="00477E0F">
        <w:rPr>
          <w:rFonts w:cs="Calibri"/>
          <w:sz w:val="24"/>
          <w:szCs w:val="24"/>
        </w:rPr>
        <w:t xml:space="preserve">continue to receive a credit for foreign taxes paid on their offshore profits (the foreign tax credit) so that they would never pay combined U.S. and foreign taxes at a rate exceeding the U.S. corporate tax rate. </w:t>
      </w:r>
    </w:p>
    <w:p w:rsidR="00E13EA4" w:rsidRDefault="00E13EA4" w:rsidP="00EC17DE">
      <w:pPr>
        <w:spacing w:after="0" w:line="240" w:lineRule="auto"/>
        <w:ind w:left="720"/>
        <w:contextualSpacing/>
        <w:rPr>
          <w:rFonts w:cs="Calibri"/>
          <w:sz w:val="24"/>
          <w:szCs w:val="24"/>
        </w:rPr>
      </w:pPr>
    </w:p>
    <w:p w:rsidR="00BE4753" w:rsidRDefault="00BE4753" w:rsidP="00EC17DE">
      <w:pPr>
        <w:spacing w:after="0" w:line="240" w:lineRule="auto"/>
        <w:ind w:left="720"/>
        <w:contextualSpacing/>
        <w:rPr>
          <w:rFonts w:cs="Calibri"/>
          <w:sz w:val="24"/>
          <w:szCs w:val="24"/>
        </w:rPr>
      </w:pPr>
      <w:r>
        <w:rPr>
          <w:rFonts w:cs="Calibri"/>
          <w:sz w:val="24"/>
          <w:szCs w:val="24"/>
        </w:rPr>
        <w:t xml:space="preserve">Senator Bernie </w:t>
      </w:r>
      <w:r w:rsidR="00DD74DB">
        <w:rPr>
          <w:rFonts w:cs="Calibri"/>
          <w:sz w:val="24"/>
          <w:szCs w:val="24"/>
        </w:rPr>
        <w:t>S</w:t>
      </w:r>
      <w:r>
        <w:rPr>
          <w:rFonts w:cs="Calibri"/>
          <w:sz w:val="24"/>
          <w:szCs w:val="24"/>
        </w:rPr>
        <w:t xml:space="preserve">anders (I-VT) has introduced legislation </w:t>
      </w:r>
      <w:r w:rsidR="003867AC">
        <w:rPr>
          <w:rFonts w:cs="Calibri"/>
          <w:sz w:val="24"/>
          <w:szCs w:val="24"/>
        </w:rPr>
        <w:t xml:space="preserve">(S. 250) </w:t>
      </w:r>
      <w:r>
        <w:rPr>
          <w:rFonts w:cs="Calibri"/>
          <w:sz w:val="24"/>
          <w:szCs w:val="24"/>
        </w:rPr>
        <w:t>to repeal deferral.</w:t>
      </w:r>
      <w:r w:rsidR="00C96B50">
        <w:rPr>
          <w:rFonts w:cs="Calibri"/>
          <w:sz w:val="24"/>
          <w:szCs w:val="24"/>
        </w:rPr>
        <w:t xml:space="preserve"> This proposal was </w:t>
      </w:r>
      <w:r w:rsidR="003867AC">
        <w:rPr>
          <w:rFonts w:cs="Calibri"/>
          <w:sz w:val="24"/>
          <w:szCs w:val="24"/>
        </w:rPr>
        <w:t xml:space="preserve">also </w:t>
      </w:r>
      <w:r w:rsidR="00C96B50">
        <w:rPr>
          <w:rFonts w:cs="Calibri"/>
          <w:sz w:val="24"/>
          <w:szCs w:val="24"/>
        </w:rPr>
        <w:t>contained in bipartisan legislation sponsored by Sen. Ron Wyden (D-OR) and Sen. Dan Coats (R-IN) in 2010.  The JCT estimated then that repealing deferral</w:t>
      </w:r>
      <w:r w:rsidR="00C96B50" w:rsidRPr="00477E0F">
        <w:rPr>
          <w:rFonts w:cs="Calibri"/>
          <w:sz w:val="24"/>
          <w:szCs w:val="24"/>
        </w:rPr>
        <w:t xml:space="preserve"> </w:t>
      </w:r>
      <w:r w:rsidR="00C96B50">
        <w:rPr>
          <w:rFonts w:cs="Calibri"/>
          <w:sz w:val="24"/>
          <w:szCs w:val="24"/>
        </w:rPr>
        <w:t>would raise $583</w:t>
      </w:r>
      <w:r w:rsidR="00C96B50" w:rsidRPr="00477E0F">
        <w:rPr>
          <w:rFonts w:cs="Calibri"/>
          <w:sz w:val="24"/>
          <w:szCs w:val="24"/>
        </w:rPr>
        <w:t xml:space="preserve"> billion over </w:t>
      </w:r>
      <w:r w:rsidR="00C96B50">
        <w:rPr>
          <w:rFonts w:cs="Calibri"/>
          <w:sz w:val="24"/>
          <w:szCs w:val="24"/>
        </w:rPr>
        <w:t>10</w:t>
      </w:r>
      <w:r w:rsidR="00C96B50" w:rsidRPr="00477E0F">
        <w:rPr>
          <w:rFonts w:cs="Calibri"/>
          <w:sz w:val="24"/>
          <w:szCs w:val="24"/>
        </w:rPr>
        <w:t xml:space="preserve"> years</w:t>
      </w:r>
      <w:r w:rsidR="00C96B50">
        <w:rPr>
          <w:rFonts w:cs="Calibri"/>
          <w:sz w:val="24"/>
          <w:szCs w:val="24"/>
        </w:rPr>
        <w:t xml:space="preserve"> if it took effect in 2011; Citizens for Tax Justice estimates it would </w:t>
      </w:r>
      <w:r w:rsidR="00C96B50" w:rsidRPr="007077BD">
        <w:rPr>
          <w:rFonts w:cs="Calibri"/>
          <w:sz w:val="24"/>
          <w:szCs w:val="24"/>
        </w:rPr>
        <w:t>raise $606 billion over 10 years</w:t>
      </w:r>
      <w:r w:rsidR="00C96B50">
        <w:rPr>
          <w:rFonts w:cs="Calibri"/>
          <w:sz w:val="24"/>
          <w:szCs w:val="24"/>
        </w:rPr>
        <w:t xml:space="preserve"> if it takes effect in 2014</w:t>
      </w:r>
      <w:r w:rsidR="00C96B50" w:rsidRPr="00477E0F">
        <w:rPr>
          <w:rFonts w:cs="Calibri"/>
          <w:sz w:val="24"/>
          <w:szCs w:val="24"/>
        </w:rPr>
        <w:t>.</w:t>
      </w:r>
      <w:r w:rsidR="00C96B50" w:rsidRPr="00477E0F">
        <w:rPr>
          <w:vertAlign w:val="superscript"/>
        </w:rPr>
        <w:endnoteReference w:id="8"/>
      </w:r>
    </w:p>
    <w:p w:rsidR="00BE4753" w:rsidRPr="00477E0F" w:rsidRDefault="00BE4753" w:rsidP="00EC17DE">
      <w:pPr>
        <w:spacing w:after="0" w:line="240" w:lineRule="auto"/>
        <w:ind w:left="720"/>
        <w:contextualSpacing/>
        <w:rPr>
          <w:rFonts w:cs="Calibri"/>
          <w:sz w:val="24"/>
          <w:szCs w:val="24"/>
        </w:rPr>
      </w:pPr>
    </w:p>
    <w:p w:rsidR="00BE4753" w:rsidRPr="00C66723" w:rsidRDefault="00BE4753"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Close </w:t>
      </w:r>
      <w:r w:rsidR="00E13EA4" w:rsidRPr="00C66723">
        <w:rPr>
          <w:rFonts w:ascii="Calibri" w:eastAsia="Times" w:hAnsi="Calibri" w:cs="Calibri"/>
          <w:b/>
          <w:color w:val="0477AE"/>
          <w:sz w:val="24"/>
          <w:szCs w:val="24"/>
        </w:rPr>
        <w:t>V</w:t>
      </w:r>
      <w:r w:rsidRPr="00C66723">
        <w:rPr>
          <w:rFonts w:ascii="Calibri" w:eastAsia="Times" w:hAnsi="Calibri" w:cs="Calibri"/>
          <w:b/>
          <w:color w:val="0477AE"/>
          <w:sz w:val="24"/>
          <w:szCs w:val="24"/>
        </w:rPr>
        <w:t xml:space="preserve">arious </w:t>
      </w:r>
      <w:r w:rsidR="00E13EA4" w:rsidRPr="00C66723">
        <w:rPr>
          <w:rFonts w:ascii="Calibri" w:eastAsia="Times" w:hAnsi="Calibri" w:cs="Calibri"/>
          <w:b/>
          <w:color w:val="0477AE"/>
          <w:sz w:val="24"/>
          <w:szCs w:val="24"/>
        </w:rPr>
        <w:t>I</w:t>
      </w:r>
      <w:r w:rsidRPr="00C66723">
        <w:rPr>
          <w:rFonts w:ascii="Calibri" w:eastAsia="Times" w:hAnsi="Calibri" w:cs="Calibri"/>
          <w:b/>
          <w:color w:val="0477AE"/>
          <w:sz w:val="24"/>
          <w:szCs w:val="24"/>
        </w:rPr>
        <w:t xml:space="preserve">nternational </w:t>
      </w:r>
      <w:r w:rsidR="00E13EA4" w:rsidRPr="00C66723">
        <w:rPr>
          <w:rFonts w:ascii="Calibri" w:eastAsia="Times" w:hAnsi="Calibri" w:cs="Calibri"/>
          <w:b/>
          <w:color w:val="0477AE"/>
          <w:sz w:val="24"/>
          <w:szCs w:val="24"/>
        </w:rPr>
        <w:t>T</w:t>
      </w:r>
      <w:r w:rsidRPr="00C66723">
        <w:rPr>
          <w:rFonts w:ascii="Calibri" w:eastAsia="Times" w:hAnsi="Calibri" w:cs="Calibri"/>
          <w:b/>
          <w:color w:val="0477AE"/>
          <w:sz w:val="24"/>
          <w:szCs w:val="24"/>
        </w:rPr>
        <w:t xml:space="preserve">ax </w:t>
      </w:r>
      <w:r w:rsidR="00E13EA4" w:rsidRPr="00C66723">
        <w:rPr>
          <w:rFonts w:ascii="Calibri" w:eastAsia="Times" w:hAnsi="Calibri" w:cs="Calibri"/>
          <w:b/>
          <w:color w:val="0477AE"/>
          <w:sz w:val="24"/>
          <w:szCs w:val="24"/>
        </w:rPr>
        <w:t>L</w:t>
      </w:r>
      <w:r w:rsidRPr="00C66723">
        <w:rPr>
          <w:rFonts w:ascii="Calibri" w:eastAsia="Times" w:hAnsi="Calibri" w:cs="Calibri"/>
          <w:b/>
          <w:color w:val="0477AE"/>
          <w:sz w:val="24"/>
          <w:szCs w:val="24"/>
        </w:rPr>
        <w:t>oopholes</w:t>
      </w:r>
    </w:p>
    <w:p w:rsidR="00BE4753" w:rsidRPr="00C66723" w:rsidRDefault="00BE4753"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Revenue: $221 billion over </w:t>
      </w:r>
      <w:r w:rsidR="00E13EA4" w:rsidRPr="00C66723">
        <w:rPr>
          <w:rFonts w:ascii="Calibri" w:eastAsia="Times" w:hAnsi="Calibri" w:cs="Calibri"/>
          <w:b/>
          <w:color w:val="0477AE"/>
          <w:sz w:val="24"/>
          <w:szCs w:val="24"/>
        </w:rPr>
        <w:t>10</w:t>
      </w:r>
      <w:r w:rsidRPr="00C66723">
        <w:rPr>
          <w:rFonts w:ascii="Calibri" w:eastAsia="Times" w:hAnsi="Calibri" w:cs="Calibri"/>
          <w:b/>
          <w:color w:val="0477AE"/>
          <w:sz w:val="24"/>
          <w:szCs w:val="24"/>
        </w:rPr>
        <w:t xml:space="preserve"> years</w:t>
      </w:r>
      <w:r w:rsidR="00E13EA4" w:rsidRPr="00C66723">
        <w:rPr>
          <w:rFonts w:ascii="Calibri" w:eastAsia="Times" w:hAnsi="Calibri" w:cs="Calibri"/>
          <w:b/>
          <w:color w:val="0477AE"/>
          <w:sz w:val="24"/>
          <w:szCs w:val="24"/>
        </w:rPr>
        <w:t xml:space="preserve">; </w:t>
      </w:r>
      <w:r w:rsidRPr="00C66723">
        <w:rPr>
          <w:rFonts w:ascii="Calibri" w:eastAsia="Times" w:hAnsi="Calibri" w:cs="Calibri"/>
          <w:b/>
          <w:color w:val="0477AE"/>
          <w:sz w:val="24"/>
          <w:szCs w:val="24"/>
        </w:rPr>
        <w:t>Joint Committee on Taxation estimates updated by Citizens for Tax Justice</w:t>
      </w:r>
    </w:p>
    <w:p w:rsidR="00BE4753" w:rsidRDefault="00BE4753" w:rsidP="00EC17DE">
      <w:pPr>
        <w:pStyle w:val="ListParagraph"/>
        <w:spacing w:after="0" w:line="240" w:lineRule="auto"/>
        <w:rPr>
          <w:rFonts w:cs="Calibri"/>
          <w:sz w:val="24"/>
          <w:szCs w:val="24"/>
        </w:rPr>
      </w:pPr>
    </w:p>
    <w:p w:rsidR="00BE4753" w:rsidRDefault="00BE4753" w:rsidP="00EC17DE">
      <w:pPr>
        <w:pStyle w:val="ListParagraph"/>
        <w:spacing w:after="0" w:line="240" w:lineRule="auto"/>
        <w:rPr>
          <w:rFonts w:cs="Calibri"/>
          <w:sz w:val="24"/>
          <w:szCs w:val="24"/>
        </w:rPr>
      </w:pPr>
      <w:r w:rsidRPr="000C4334">
        <w:rPr>
          <w:rFonts w:cs="Calibri"/>
          <w:sz w:val="24"/>
          <w:szCs w:val="24"/>
        </w:rPr>
        <w:t xml:space="preserve">Another approach would be to adopt a set of multinational corporate tax reforms like those President Obama </w:t>
      </w:r>
      <w:r>
        <w:rPr>
          <w:rFonts w:cs="Calibri"/>
          <w:sz w:val="24"/>
          <w:szCs w:val="24"/>
        </w:rPr>
        <w:t xml:space="preserve">has </w:t>
      </w:r>
      <w:r w:rsidRPr="000C4334">
        <w:rPr>
          <w:rFonts w:cs="Calibri"/>
          <w:sz w:val="24"/>
          <w:szCs w:val="24"/>
        </w:rPr>
        <w:t xml:space="preserve">proposed in his budgets that would reduce incentives for corporations to shift jobs and profits overseas, prevent corporations from claiming credit for foreign taxes they didn’t pay, and crack down on tax havens. Overall, these </w:t>
      </w:r>
      <w:r>
        <w:rPr>
          <w:rFonts w:cs="Calibri"/>
          <w:sz w:val="24"/>
          <w:szCs w:val="24"/>
        </w:rPr>
        <w:t>13</w:t>
      </w:r>
      <w:r w:rsidRPr="000C4334">
        <w:rPr>
          <w:rFonts w:cs="Calibri"/>
          <w:sz w:val="24"/>
          <w:szCs w:val="24"/>
        </w:rPr>
        <w:t xml:space="preserve"> measures would raise about </w:t>
      </w:r>
      <w:r w:rsidRPr="007077BD">
        <w:rPr>
          <w:rFonts w:cs="Calibri"/>
          <w:sz w:val="24"/>
          <w:szCs w:val="24"/>
        </w:rPr>
        <w:t>$221 billion over 10 years</w:t>
      </w:r>
      <w:r w:rsidRPr="000C4334">
        <w:rPr>
          <w:rFonts w:cs="Calibri"/>
          <w:sz w:val="24"/>
          <w:szCs w:val="24"/>
        </w:rPr>
        <w:t xml:space="preserve">, </w:t>
      </w:r>
      <w:r>
        <w:rPr>
          <w:rFonts w:cs="Calibri"/>
          <w:sz w:val="24"/>
          <w:szCs w:val="24"/>
        </w:rPr>
        <w:t>based on</w:t>
      </w:r>
      <w:r w:rsidRPr="000C4334">
        <w:rPr>
          <w:rFonts w:cs="Calibri"/>
          <w:sz w:val="24"/>
          <w:szCs w:val="24"/>
        </w:rPr>
        <w:t xml:space="preserve"> </w:t>
      </w:r>
      <w:r>
        <w:rPr>
          <w:rFonts w:cs="Calibri"/>
          <w:sz w:val="24"/>
          <w:szCs w:val="24"/>
        </w:rPr>
        <w:t>J</w:t>
      </w:r>
      <w:r w:rsidR="00E13EA4">
        <w:rPr>
          <w:rFonts w:cs="Calibri"/>
          <w:sz w:val="24"/>
          <w:szCs w:val="24"/>
        </w:rPr>
        <w:t>CT</w:t>
      </w:r>
      <w:r>
        <w:rPr>
          <w:rFonts w:cs="Calibri"/>
          <w:sz w:val="24"/>
          <w:szCs w:val="24"/>
        </w:rPr>
        <w:t xml:space="preserve"> </w:t>
      </w:r>
      <w:r w:rsidRPr="000C4334">
        <w:rPr>
          <w:rFonts w:cs="Calibri"/>
          <w:sz w:val="24"/>
          <w:szCs w:val="24"/>
        </w:rPr>
        <w:t>estimates</w:t>
      </w:r>
      <w:r w:rsidR="009B4C4A">
        <w:rPr>
          <w:rFonts w:cs="Calibri"/>
          <w:sz w:val="24"/>
          <w:szCs w:val="24"/>
        </w:rPr>
        <w:t xml:space="preserve"> updated by Citizens for Tax Justice</w:t>
      </w:r>
      <w:r>
        <w:rPr>
          <w:rFonts w:cs="Calibri"/>
          <w:sz w:val="24"/>
          <w:szCs w:val="24"/>
        </w:rPr>
        <w:t>, while reducing subsidies for corporate offshoring</w:t>
      </w:r>
      <w:r w:rsidRPr="000C4334">
        <w:rPr>
          <w:rFonts w:cs="Calibri"/>
          <w:sz w:val="24"/>
          <w:szCs w:val="24"/>
        </w:rPr>
        <w:t>.</w:t>
      </w:r>
      <w:r>
        <w:rPr>
          <w:rStyle w:val="EndnoteReference"/>
          <w:sz w:val="24"/>
          <w:szCs w:val="24"/>
        </w:rPr>
        <w:endnoteReference w:id="9"/>
      </w:r>
      <w:r w:rsidRPr="000C4334">
        <w:rPr>
          <w:rFonts w:cs="Calibri"/>
          <w:sz w:val="24"/>
          <w:szCs w:val="24"/>
        </w:rPr>
        <w:t xml:space="preserve"> </w:t>
      </w:r>
      <w:r w:rsidR="005D2268">
        <w:rPr>
          <w:rFonts w:cs="Calibri"/>
          <w:sz w:val="24"/>
          <w:szCs w:val="24"/>
        </w:rPr>
        <w:t>The largest of these r</w:t>
      </w:r>
      <w:r>
        <w:rPr>
          <w:rFonts w:cs="Calibri"/>
          <w:sz w:val="24"/>
          <w:szCs w:val="24"/>
        </w:rPr>
        <w:t xml:space="preserve">eforms </w:t>
      </w:r>
      <w:r w:rsidR="005D2268">
        <w:rPr>
          <w:rFonts w:cs="Calibri"/>
          <w:sz w:val="24"/>
          <w:szCs w:val="24"/>
        </w:rPr>
        <w:t>would</w:t>
      </w:r>
      <w:r>
        <w:rPr>
          <w:rFonts w:cs="Calibri"/>
          <w:sz w:val="24"/>
          <w:szCs w:val="24"/>
        </w:rPr>
        <w:t>:</w:t>
      </w:r>
    </w:p>
    <w:p w:rsidR="00BE4753" w:rsidRDefault="00BE4753" w:rsidP="00EC17DE">
      <w:pPr>
        <w:pStyle w:val="ListParagraph"/>
        <w:spacing w:after="0" w:line="240" w:lineRule="auto"/>
        <w:rPr>
          <w:rFonts w:cs="Calibri"/>
          <w:sz w:val="24"/>
          <w:szCs w:val="24"/>
        </w:rPr>
      </w:pPr>
    </w:p>
    <w:p w:rsidR="00BE4753" w:rsidRDefault="00BE4753" w:rsidP="00EC17DE">
      <w:pPr>
        <w:pStyle w:val="ListParagraph"/>
        <w:numPr>
          <w:ilvl w:val="0"/>
          <w:numId w:val="6"/>
        </w:numPr>
        <w:spacing w:after="0" w:line="240" w:lineRule="auto"/>
        <w:ind w:left="1080"/>
        <w:rPr>
          <w:rFonts w:cs="Calibri"/>
          <w:sz w:val="24"/>
          <w:szCs w:val="24"/>
        </w:rPr>
      </w:pPr>
      <w:r>
        <w:rPr>
          <w:rFonts w:cs="Calibri"/>
          <w:sz w:val="24"/>
          <w:szCs w:val="24"/>
        </w:rPr>
        <w:t>E</w:t>
      </w:r>
      <w:r w:rsidRPr="000C4334">
        <w:rPr>
          <w:rFonts w:cs="Calibri"/>
          <w:sz w:val="24"/>
          <w:szCs w:val="24"/>
        </w:rPr>
        <w:t xml:space="preserve">nd the practice of companies taking immediate deductions against their U.S. taxes for expenses associated with their offshore operations </w:t>
      </w:r>
      <w:r>
        <w:rPr>
          <w:rFonts w:cs="Calibri"/>
          <w:sz w:val="24"/>
          <w:szCs w:val="24"/>
        </w:rPr>
        <w:t>while</w:t>
      </w:r>
      <w:r w:rsidRPr="000C4334">
        <w:rPr>
          <w:rFonts w:cs="Calibri"/>
          <w:sz w:val="24"/>
          <w:szCs w:val="24"/>
        </w:rPr>
        <w:t xml:space="preserve"> defer</w:t>
      </w:r>
      <w:r>
        <w:rPr>
          <w:rFonts w:cs="Calibri"/>
          <w:sz w:val="24"/>
          <w:szCs w:val="24"/>
        </w:rPr>
        <w:t>ring</w:t>
      </w:r>
      <w:r w:rsidRPr="000C4334">
        <w:rPr>
          <w:rFonts w:cs="Calibri"/>
          <w:sz w:val="24"/>
          <w:szCs w:val="24"/>
        </w:rPr>
        <w:t xml:space="preserve"> </w:t>
      </w:r>
      <w:r>
        <w:rPr>
          <w:rFonts w:cs="Calibri"/>
          <w:sz w:val="24"/>
          <w:szCs w:val="24"/>
        </w:rPr>
        <w:t xml:space="preserve">indefinitely </w:t>
      </w:r>
      <w:r w:rsidRPr="000C4334">
        <w:rPr>
          <w:rFonts w:cs="Calibri"/>
          <w:sz w:val="24"/>
          <w:szCs w:val="24"/>
        </w:rPr>
        <w:t>the U.S. taxes on the resulting offshore pro</w:t>
      </w:r>
      <w:r>
        <w:rPr>
          <w:rFonts w:cs="Calibri"/>
          <w:sz w:val="24"/>
          <w:szCs w:val="24"/>
        </w:rPr>
        <w:t>fits</w:t>
      </w:r>
      <w:r w:rsidR="003867AC">
        <w:rPr>
          <w:rFonts w:cs="Calibri"/>
          <w:sz w:val="24"/>
          <w:szCs w:val="24"/>
        </w:rPr>
        <w:t>:</w:t>
      </w:r>
      <w:r>
        <w:rPr>
          <w:rFonts w:cs="Calibri"/>
          <w:sz w:val="24"/>
          <w:szCs w:val="24"/>
        </w:rPr>
        <w:t xml:space="preserve"> </w:t>
      </w:r>
      <w:r>
        <w:rPr>
          <w:rFonts w:cs="Calibri"/>
          <w:b/>
          <w:sz w:val="24"/>
          <w:szCs w:val="24"/>
        </w:rPr>
        <w:t>$65</w:t>
      </w:r>
      <w:r w:rsidRPr="00EC2AC8">
        <w:rPr>
          <w:rFonts w:cs="Calibri"/>
          <w:b/>
          <w:sz w:val="24"/>
          <w:szCs w:val="24"/>
        </w:rPr>
        <w:t xml:space="preserve"> billion over 10 years.</w:t>
      </w:r>
      <w:r>
        <w:rPr>
          <w:rFonts w:cs="Calibri"/>
          <w:b/>
          <w:sz w:val="24"/>
          <w:szCs w:val="24"/>
        </w:rPr>
        <w:t xml:space="preserve">  </w:t>
      </w:r>
    </w:p>
    <w:p w:rsidR="00BE4753" w:rsidRDefault="00BE4753" w:rsidP="00EC17DE">
      <w:pPr>
        <w:pStyle w:val="ListParagraph"/>
        <w:numPr>
          <w:ilvl w:val="0"/>
          <w:numId w:val="6"/>
        </w:numPr>
        <w:spacing w:after="0" w:line="240" w:lineRule="auto"/>
        <w:ind w:left="1080"/>
        <w:rPr>
          <w:rFonts w:cs="Calibri"/>
          <w:sz w:val="24"/>
          <w:szCs w:val="24"/>
        </w:rPr>
      </w:pPr>
      <w:r>
        <w:rPr>
          <w:rFonts w:cs="Calibri"/>
          <w:sz w:val="24"/>
          <w:szCs w:val="24"/>
        </w:rPr>
        <w:t>H</w:t>
      </w:r>
      <w:r w:rsidRPr="000C4334">
        <w:rPr>
          <w:rFonts w:cs="Calibri"/>
          <w:sz w:val="24"/>
          <w:szCs w:val="24"/>
        </w:rPr>
        <w:t>elp ensure that the foreign tax credit, which is supposed to prevent double-taxation of foreign profits, does not exceed the amount necessary to achieve that goal</w:t>
      </w:r>
      <w:r w:rsidR="003867AC">
        <w:rPr>
          <w:rFonts w:cs="Calibri"/>
          <w:sz w:val="24"/>
          <w:szCs w:val="24"/>
        </w:rPr>
        <w:t>:</w:t>
      </w:r>
      <w:r w:rsidRPr="000C4334">
        <w:rPr>
          <w:rFonts w:cs="Calibri"/>
          <w:sz w:val="24"/>
          <w:szCs w:val="24"/>
        </w:rPr>
        <w:t xml:space="preserve"> </w:t>
      </w:r>
      <w:r w:rsidRPr="00EC2AC8">
        <w:rPr>
          <w:rFonts w:cs="Calibri"/>
          <w:b/>
          <w:sz w:val="24"/>
          <w:szCs w:val="24"/>
        </w:rPr>
        <w:t>$60 billion over 10 years.</w:t>
      </w:r>
      <w:r w:rsidRPr="000C4334">
        <w:rPr>
          <w:rFonts w:cs="Calibri"/>
          <w:sz w:val="24"/>
          <w:szCs w:val="24"/>
        </w:rPr>
        <w:t xml:space="preserve">  </w:t>
      </w:r>
    </w:p>
    <w:p w:rsidR="00BE4753" w:rsidRDefault="00BE4753" w:rsidP="00EC17DE">
      <w:pPr>
        <w:pStyle w:val="ListParagraph"/>
        <w:numPr>
          <w:ilvl w:val="0"/>
          <w:numId w:val="6"/>
        </w:numPr>
        <w:spacing w:after="0" w:line="240" w:lineRule="auto"/>
        <w:ind w:left="1080"/>
        <w:rPr>
          <w:rFonts w:cs="Calibri"/>
          <w:sz w:val="24"/>
          <w:szCs w:val="24"/>
        </w:rPr>
      </w:pPr>
      <w:r>
        <w:rPr>
          <w:rFonts w:cs="Calibri"/>
          <w:sz w:val="24"/>
          <w:szCs w:val="24"/>
        </w:rPr>
        <w:lastRenderedPageBreak/>
        <w:t>R</w:t>
      </w:r>
      <w:r w:rsidRPr="000C4334">
        <w:rPr>
          <w:rFonts w:cs="Calibri"/>
          <w:sz w:val="24"/>
          <w:szCs w:val="24"/>
        </w:rPr>
        <w:t>educe abuses involving intangible property like patents and trademarks, which are particularly easy to shift to tax haven-based subsidiaries that are really no more than a post office box</w:t>
      </w:r>
      <w:r w:rsidR="003867AC">
        <w:rPr>
          <w:rFonts w:cs="Calibri"/>
          <w:sz w:val="24"/>
          <w:szCs w:val="24"/>
        </w:rPr>
        <w:t>:</w:t>
      </w:r>
      <w:r>
        <w:rPr>
          <w:rFonts w:cs="Calibri"/>
          <w:sz w:val="24"/>
          <w:szCs w:val="24"/>
        </w:rPr>
        <w:t xml:space="preserve"> </w:t>
      </w:r>
      <w:r>
        <w:rPr>
          <w:rFonts w:cs="Calibri"/>
          <w:b/>
          <w:sz w:val="24"/>
          <w:szCs w:val="24"/>
        </w:rPr>
        <w:t>$21</w:t>
      </w:r>
      <w:r w:rsidRPr="00EC2AC8">
        <w:rPr>
          <w:rFonts w:cs="Calibri"/>
          <w:b/>
          <w:sz w:val="24"/>
          <w:szCs w:val="24"/>
        </w:rPr>
        <w:t xml:space="preserve"> billion over 10 years.</w:t>
      </w:r>
      <w:r>
        <w:rPr>
          <w:rFonts w:cs="Calibri"/>
          <w:b/>
          <w:sz w:val="24"/>
          <w:szCs w:val="24"/>
        </w:rPr>
        <w:t xml:space="preserve">  </w:t>
      </w:r>
    </w:p>
    <w:p w:rsidR="00BE4753" w:rsidRPr="000C4334" w:rsidRDefault="00BE4753" w:rsidP="00EC17DE">
      <w:pPr>
        <w:pStyle w:val="ListParagraph"/>
        <w:numPr>
          <w:ilvl w:val="0"/>
          <w:numId w:val="6"/>
        </w:numPr>
        <w:spacing w:after="0" w:line="240" w:lineRule="auto"/>
        <w:ind w:left="1080"/>
        <w:rPr>
          <w:rFonts w:cs="Calibri"/>
          <w:sz w:val="24"/>
          <w:szCs w:val="24"/>
        </w:rPr>
      </w:pPr>
      <w:r>
        <w:rPr>
          <w:rFonts w:cs="Calibri"/>
          <w:sz w:val="24"/>
          <w:szCs w:val="24"/>
        </w:rPr>
        <w:t>Reform the rules relating to “dual capacity taxpayers,” which allow multinational corporations such as large oil companies to claim foreign tax credits for payments that are essentially royalties, and therefore should not be creditable as foreign income taxes</w:t>
      </w:r>
      <w:r w:rsidR="003867AC">
        <w:rPr>
          <w:rFonts w:cs="Calibri"/>
          <w:sz w:val="24"/>
          <w:szCs w:val="24"/>
        </w:rPr>
        <w:t>:</w:t>
      </w:r>
      <w:r>
        <w:rPr>
          <w:rFonts w:cs="Calibri"/>
          <w:sz w:val="24"/>
          <w:szCs w:val="24"/>
        </w:rPr>
        <w:t xml:space="preserve">  </w:t>
      </w:r>
      <w:r>
        <w:rPr>
          <w:rFonts w:cs="Calibri"/>
          <w:b/>
          <w:sz w:val="24"/>
          <w:szCs w:val="24"/>
        </w:rPr>
        <w:t>$10</w:t>
      </w:r>
      <w:r w:rsidRPr="00EC2AC8">
        <w:rPr>
          <w:rFonts w:cs="Calibri"/>
          <w:b/>
          <w:sz w:val="24"/>
          <w:szCs w:val="24"/>
        </w:rPr>
        <w:t xml:space="preserve"> billion over 10 years.</w:t>
      </w:r>
    </w:p>
    <w:p w:rsidR="00BE4753" w:rsidRDefault="00BE4753" w:rsidP="00EC17DE">
      <w:pPr>
        <w:pStyle w:val="ListParagraph"/>
        <w:numPr>
          <w:ilvl w:val="0"/>
          <w:numId w:val="6"/>
        </w:numPr>
        <w:spacing w:after="0" w:line="240" w:lineRule="auto"/>
        <w:ind w:left="1080"/>
        <w:rPr>
          <w:rFonts w:cs="Calibri"/>
          <w:sz w:val="24"/>
          <w:szCs w:val="24"/>
        </w:rPr>
      </w:pPr>
      <w:r>
        <w:rPr>
          <w:rFonts w:cs="Calibri"/>
          <w:sz w:val="24"/>
          <w:szCs w:val="24"/>
        </w:rPr>
        <w:t>E</w:t>
      </w:r>
      <w:r w:rsidRPr="000C4334">
        <w:rPr>
          <w:rFonts w:cs="Calibri"/>
          <w:sz w:val="24"/>
          <w:szCs w:val="24"/>
        </w:rPr>
        <w:t>liminate or reform “check-the-box” rules that make it easy for corporations to move profits to overseas tax havens and avoid tax by “checking a box” that transforms subsidiaries into entiti</w:t>
      </w:r>
      <w:r>
        <w:rPr>
          <w:rFonts w:cs="Calibri"/>
          <w:sz w:val="24"/>
          <w:szCs w:val="24"/>
        </w:rPr>
        <w:t>es that don’t have to pay tax</w:t>
      </w:r>
      <w:r w:rsidR="003867AC">
        <w:rPr>
          <w:rFonts w:cs="Calibri"/>
          <w:sz w:val="24"/>
          <w:szCs w:val="24"/>
        </w:rPr>
        <w:t>:</w:t>
      </w:r>
      <w:r w:rsidRPr="00A96EA7">
        <w:rPr>
          <w:rFonts w:cs="Calibri"/>
          <w:b/>
          <w:sz w:val="24"/>
          <w:szCs w:val="24"/>
        </w:rPr>
        <w:t xml:space="preserve"> </w:t>
      </w:r>
      <w:r>
        <w:rPr>
          <w:rFonts w:cs="Calibri"/>
          <w:b/>
          <w:sz w:val="24"/>
          <w:szCs w:val="24"/>
        </w:rPr>
        <w:t xml:space="preserve">At least </w:t>
      </w:r>
      <w:r w:rsidRPr="00A96EA7">
        <w:rPr>
          <w:rFonts w:cs="Calibri"/>
          <w:b/>
          <w:sz w:val="24"/>
          <w:szCs w:val="24"/>
        </w:rPr>
        <w:t>$41 billion over 10 years.</w:t>
      </w:r>
      <w:r w:rsidRPr="00E13EA4">
        <w:rPr>
          <w:rStyle w:val="EndnoteReference"/>
          <w:sz w:val="24"/>
          <w:szCs w:val="24"/>
        </w:rPr>
        <w:endnoteReference w:id="10"/>
      </w:r>
    </w:p>
    <w:p w:rsidR="00BE4753" w:rsidRDefault="00BE4753" w:rsidP="00EC17DE">
      <w:pPr>
        <w:spacing w:after="0" w:line="240" w:lineRule="auto"/>
        <w:ind w:left="1080"/>
        <w:contextualSpacing/>
        <w:rPr>
          <w:rFonts w:cs="Calibri"/>
          <w:sz w:val="24"/>
          <w:szCs w:val="24"/>
        </w:rPr>
      </w:pPr>
    </w:p>
    <w:p w:rsidR="00BE4753" w:rsidRDefault="00BE4753" w:rsidP="00E13EA4">
      <w:pPr>
        <w:spacing w:after="0" w:line="240" w:lineRule="auto"/>
        <w:ind w:left="360"/>
        <w:contextualSpacing/>
        <w:rPr>
          <w:rFonts w:cs="Calibri"/>
          <w:sz w:val="24"/>
          <w:szCs w:val="24"/>
        </w:rPr>
      </w:pPr>
      <w:r>
        <w:rPr>
          <w:rFonts w:cs="Calibri"/>
          <w:sz w:val="24"/>
          <w:szCs w:val="24"/>
        </w:rPr>
        <w:t>In his “Framework for Business Tax Reform,” President Obama also proposed a minimum tax on corporations’ foreign profits to deter tax haven abuse, level the playing field for domestic investment, and prevent a global “race to the bottom” on corporate tax rates.</w:t>
      </w:r>
      <w:r w:rsidR="00E13EA4">
        <w:rPr>
          <w:rStyle w:val="EndnoteReference"/>
          <w:sz w:val="24"/>
          <w:szCs w:val="24"/>
        </w:rPr>
        <w:endnoteReference w:id="11"/>
      </w:r>
      <w:r>
        <w:rPr>
          <w:rFonts w:cs="Calibri"/>
          <w:sz w:val="24"/>
          <w:szCs w:val="24"/>
        </w:rPr>
        <w:t xml:space="preserve"> The details of the minimum tax proposal have yet to be </w:t>
      </w:r>
      <w:r w:rsidR="006267DA">
        <w:rPr>
          <w:rFonts w:cs="Calibri"/>
          <w:sz w:val="24"/>
          <w:szCs w:val="24"/>
        </w:rPr>
        <w:t>released</w:t>
      </w:r>
      <w:r>
        <w:rPr>
          <w:rFonts w:cs="Calibri"/>
          <w:sz w:val="24"/>
          <w:szCs w:val="24"/>
        </w:rPr>
        <w:t>.</w:t>
      </w:r>
    </w:p>
    <w:p w:rsidR="00BE4753" w:rsidRDefault="00BE4753" w:rsidP="00E13EA4">
      <w:pPr>
        <w:spacing w:after="0" w:line="240" w:lineRule="auto"/>
        <w:ind w:left="360"/>
        <w:contextualSpacing/>
        <w:rPr>
          <w:rFonts w:cs="Calibri"/>
          <w:sz w:val="24"/>
          <w:szCs w:val="24"/>
        </w:rPr>
      </w:pPr>
    </w:p>
    <w:p w:rsidR="00BE4753" w:rsidRPr="00B6104F" w:rsidRDefault="00BE4753" w:rsidP="00C378BB">
      <w:pPr>
        <w:pStyle w:val="ListParagraph"/>
        <w:spacing w:after="0" w:line="240" w:lineRule="auto"/>
        <w:ind w:left="360"/>
        <w:rPr>
          <w:rFonts w:cs="Calibri"/>
          <w:sz w:val="24"/>
          <w:szCs w:val="24"/>
          <w:u w:val="single"/>
        </w:rPr>
      </w:pPr>
      <w:r w:rsidRPr="00C378BB">
        <w:rPr>
          <w:rFonts w:ascii="Calibri" w:eastAsia="Times" w:hAnsi="Calibri" w:cs="Calibri"/>
          <w:b/>
          <w:color w:val="0477AE"/>
          <w:sz w:val="24"/>
          <w:szCs w:val="24"/>
        </w:rPr>
        <w:t xml:space="preserve">Public </w:t>
      </w:r>
      <w:r w:rsidR="00E13EA4" w:rsidRPr="00C378BB">
        <w:rPr>
          <w:rFonts w:ascii="Calibri" w:eastAsia="Times" w:hAnsi="Calibri" w:cs="Calibri"/>
          <w:b/>
          <w:color w:val="0477AE"/>
          <w:sz w:val="24"/>
          <w:szCs w:val="24"/>
        </w:rPr>
        <w:t>o</w:t>
      </w:r>
      <w:r w:rsidRPr="00C378BB">
        <w:rPr>
          <w:rFonts w:ascii="Calibri" w:eastAsia="Times" w:hAnsi="Calibri" w:cs="Calibri"/>
          <w:b/>
          <w:color w:val="0477AE"/>
          <w:sz w:val="24"/>
          <w:szCs w:val="24"/>
        </w:rPr>
        <w:t>pinion on these tax reform options</w:t>
      </w:r>
    </w:p>
    <w:p w:rsidR="00BE4753" w:rsidRPr="00B6104F" w:rsidRDefault="00BE4753" w:rsidP="00E13EA4">
      <w:pPr>
        <w:pStyle w:val="ListParagraph"/>
        <w:numPr>
          <w:ilvl w:val="0"/>
          <w:numId w:val="19"/>
        </w:numPr>
        <w:autoSpaceDE w:val="0"/>
        <w:autoSpaceDN w:val="0"/>
        <w:adjustRightInd w:val="0"/>
        <w:spacing w:after="0" w:line="240" w:lineRule="auto"/>
        <w:ind w:left="720"/>
        <w:rPr>
          <w:rFonts w:cs="Helvetica"/>
          <w:sz w:val="24"/>
          <w:szCs w:val="24"/>
        </w:rPr>
      </w:pPr>
      <w:r w:rsidRPr="00614F53">
        <w:rPr>
          <w:rFonts w:cs="Calibri"/>
          <w:sz w:val="24"/>
          <w:szCs w:val="24"/>
        </w:rPr>
        <w:t xml:space="preserve">By a margin of </w:t>
      </w:r>
      <w:r>
        <w:rPr>
          <w:rFonts w:cs="Calibri"/>
          <w:sz w:val="24"/>
          <w:szCs w:val="24"/>
        </w:rPr>
        <w:t>8</w:t>
      </w:r>
      <w:r w:rsidRPr="00614F53">
        <w:rPr>
          <w:rFonts w:cs="Calibri"/>
          <w:sz w:val="24"/>
          <w:szCs w:val="24"/>
        </w:rPr>
        <w:t xml:space="preserve">3% to </w:t>
      </w:r>
      <w:r>
        <w:rPr>
          <w:rFonts w:cs="Calibri"/>
          <w:sz w:val="24"/>
          <w:szCs w:val="24"/>
        </w:rPr>
        <w:t>13</w:t>
      </w:r>
      <w:r w:rsidRPr="00614F53">
        <w:rPr>
          <w:rFonts w:cs="Calibri"/>
          <w:sz w:val="24"/>
          <w:szCs w:val="24"/>
        </w:rPr>
        <w:t xml:space="preserve">%, voters want to </w:t>
      </w:r>
      <w:r>
        <w:rPr>
          <w:rFonts w:cs="Calibri"/>
          <w:sz w:val="24"/>
          <w:szCs w:val="24"/>
        </w:rPr>
        <w:t>“</w:t>
      </w:r>
      <w:r w:rsidRPr="00B6104F">
        <w:rPr>
          <w:rFonts w:cs="Helvetica"/>
          <w:sz w:val="24"/>
          <w:szCs w:val="24"/>
        </w:rPr>
        <w:t>Increase taxes on the profits that American corporations make overseas, to ensure they pay as much on foreign</w:t>
      </w:r>
      <w:r>
        <w:rPr>
          <w:rFonts w:cs="Helvetica"/>
          <w:sz w:val="24"/>
          <w:szCs w:val="24"/>
        </w:rPr>
        <w:t xml:space="preserve"> </w:t>
      </w:r>
      <w:r w:rsidRPr="00B6104F">
        <w:rPr>
          <w:rFonts w:cs="Helvetica"/>
          <w:sz w:val="24"/>
          <w:szCs w:val="24"/>
        </w:rPr>
        <w:t>profits as they do on profits made in the United States</w:t>
      </w:r>
      <w:r>
        <w:rPr>
          <w:rFonts w:cs="Helvetica"/>
          <w:sz w:val="24"/>
          <w:szCs w:val="24"/>
        </w:rPr>
        <w:t>.”</w:t>
      </w:r>
      <w:r w:rsidRPr="00B6104F">
        <w:rPr>
          <w:rFonts w:cs="Helvetica"/>
          <w:sz w:val="24"/>
          <w:szCs w:val="24"/>
        </w:rPr>
        <w:t xml:space="preserve"> </w:t>
      </w:r>
    </w:p>
    <w:p w:rsidR="00BE4753" w:rsidRPr="00B6104F" w:rsidRDefault="00BE4753" w:rsidP="006E33F3">
      <w:pPr>
        <w:pStyle w:val="ListParagraph"/>
        <w:numPr>
          <w:ilvl w:val="0"/>
          <w:numId w:val="18"/>
        </w:numPr>
        <w:autoSpaceDE w:val="0"/>
        <w:autoSpaceDN w:val="0"/>
        <w:adjustRightInd w:val="0"/>
        <w:spacing w:after="0" w:line="240" w:lineRule="auto"/>
        <w:ind w:left="720"/>
        <w:rPr>
          <w:rFonts w:cs="Helvetica"/>
          <w:sz w:val="24"/>
          <w:szCs w:val="24"/>
        </w:rPr>
      </w:pPr>
      <w:r w:rsidRPr="00B6104F">
        <w:rPr>
          <w:rFonts w:cs="Calibri"/>
          <w:sz w:val="24"/>
          <w:szCs w:val="24"/>
        </w:rPr>
        <w:t>By a margin of 73% to 25%, voters want to “</w:t>
      </w:r>
      <w:r w:rsidRPr="00B6104F">
        <w:rPr>
          <w:rFonts w:cs="Helvetica"/>
          <w:sz w:val="24"/>
          <w:szCs w:val="24"/>
        </w:rPr>
        <w:t>Close loopholes that allow corporations and wealthy individuals to avoid paying U.S. taxes by shifting income to overseas tax havens</w:t>
      </w:r>
      <w:r w:rsidRPr="00B6104F">
        <w:rPr>
          <w:rFonts w:cs="Calibri"/>
          <w:sz w:val="24"/>
          <w:szCs w:val="24"/>
        </w:rPr>
        <w:t>.”</w:t>
      </w:r>
    </w:p>
    <w:p w:rsidR="000C4334" w:rsidRDefault="00E13EA4" w:rsidP="002F2092">
      <w:pPr>
        <w:pStyle w:val="ListParagraph"/>
        <w:autoSpaceDE w:val="0"/>
        <w:autoSpaceDN w:val="0"/>
        <w:adjustRightInd w:val="0"/>
        <w:spacing w:after="0" w:line="240" w:lineRule="auto"/>
        <w:ind w:left="360"/>
        <w:rPr>
          <w:rFonts w:ascii="Calibri" w:eastAsia="Calibri" w:hAnsi="Calibri" w:cs="Calibri"/>
          <w:sz w:val="24"/>
          <w:szCs w:val="24"/>
        </w:rPr>
      </w:pPr>
      <w:r>
        <w:rPr>
          <w:rFonts w:cs="Calibri"/>
          <w:sz w:val="24"/>
          <w:szCs w:val="24"/>
        </w:rPr>
        <w:tab/>
      </w:r>
      <w:hyperlink r:id="rId14" w:history="1">
        <w:r w:rsidR="00BE4753" w:rsidRPr="00A220E7">
          <w:rPr>
            <w:rStyle w:val="Hyperlink"/>
            <w:rFonts w:cs="Calibri"/>
            <w:sz w:val="24"/>
            <w:szCs w:val="24"/>
          </w:rPr>
          <w:t>Hart Research Associates Poll</w:t>
        </w:r>
      </w:hyperlink>
      <w:r w:rsidR="00BE4753" w:rsidRPr="00B6104F">
        <w:rPr>
          <w:rFonts w:cs="Calibri"/>
          <w:sz w:val="24"/>
          <w:szCs w:val="24"/>
        </w:rPr>
        <w:t xml:space="preserve">, Jan. 18-22, 2013, </w:t>
      </w:r>
      <w:r>
        <w:rPr>
          <w:rFonts w:cs="Calibri"/>
          <w:sz w:val="24"/>
          <w:szCs w:val="24"/>
        </w:rPr>
        <w:t xml:space="preserve">Q. </w:t>
      </w:r>
      <w:r w:rsidR="00BE4753" w:rsidRPr="00B6104F">
        <w:rPr>
          <w:rFonts w:cs="Calibri"/>
          <w:sz w:val="24"/>
          <w:szCs w:val="24"/>
        </w:rPr>
        <w:t>12</w:t>
      </w:r>
    </w:p>
    <w:p w:rsidR="00EC17DE" w:rsidRDefault="00EC17DE" w:rsidP="00914083">
      <w:pPr>
        <w:spacing w:after="0" w:line="240" w:lineRule="auto"/>
        <w:contextualSpacing/>
        <w:rPr>
          <w:rFonts w:ascii="Calibri" w:eastAsia="Calibri" w:hAnsi="Calibri" w:cs="Calibri"/>
          <w:sz w:val="24"/>
          <w:szCs w:val="24"/>
        </w:rPr>
      </w:pPr>
    </w:p>
    <w:p w:rsidR="00C250AC" w:rsidRDefault="00C250AC" w:rsidP="00914083">
      <w:pPr>
        <w:spacing w:after="0" w:line="240" w:lineRule="auto"/>
        <w:contextualSpacing/>
        <w:rPr>
          <w:rFonts w:ascii="Calibri" w:eastAsia="Calibri" w:hAnsi="Calibri" w:cs="Calibri"/>
          <w:sz w:val="24"/>
          <w:szCs w:val="24"/>
        </w:rPr>
      </w:pPr>
    </w:p>
    <w:p w:rsidR="009C687E" w:rsidRPr="00C66723" w:rsidRDefault="009C687E" w:rsidP="00EC17DE">
      <w:pPr>
        <w:pStyle w:val="ListParagraph"/>
        <w:numPr>
          <w:ilvl w:val="0"/>
          <w:numId w:val="20"/>
        </w:numPr>
        <w:spacing w:after="0" w:line="240" w:lineRule="auto"/>
        <w:ind w:left="360" w:hanging="360"/>
        <w:rPr>
          <w:rFonts w:ascii="Calibri" w:eastAsia="Times" w:hAnsi="Calibri" w:cs="Calibri"/>
          <w:b/>
          <w:color w:val="0477AE"/>
          <w:sz w:val="28"/>
          <w:szCs w:val="28"/>
        </w:rPr>
      </w:pPr>
      <w:r w:rsidRPr="00C66723">
        <w:rPr>
          <w:rFonts w:ascii="Calibri" w:eastAsia="Times" w:hAnsi="Calibri" w:cs="Calibri"/>
          <w:b/>
          <w:color w:val="0477AE"/>
          <w:sz w:val="28"/>
          <w:szCs w:val="28"/>
        </w:rPr>
        <w:t xml:space="preserve">Close </w:t>
      </w:r>
      <w:r w:rsidR="00E13EA4" w:rsidRPr="00C66723">
        <w:rPr>
          <w:rFonts w:ascii="Calibri" w:eastAsia="Times" w:hAnsi="Calibri" w:cs="Calibri"/>
          <w:b/>
          <w:color w:val="0477AE"/>
          <w:sz w:val="28"/>
          <w:szCs w:val="28"/>
        </w:rPr>
        <w:t>O</w:t>
      </w:r>
      <w:r w:rsidRPr="00C66723">
        <w:rPr>
          <w:rFonts w:ascii="Calibri" w:eastAsia="Times" w:hAnsi="Calibri" w:cs="Calibri"/>
          <w:b/>
          <w:color w:val="0477AE"/>
          <w:sz w:val="28"/>
          <w:szCs w:val="28"/>
        </w:rPr>
        <w:t xml:space="preserve">ther </w:t>
      </w:r>
      <w:r w:rsidR="00E13EA4" w:rsidRPr="00C66723">
        <w:rPr>
          <w:rFonts w:ascii="Calibri" w:eastAsia="Times" w:hAnsi="Calibri" w:cs="Calibri"/>
          <w:b/>
          <w:color w:val="0477AE"/>
          <w:sz w:val="28"/>
          <w:szCs w:val="28"/>
        </w:rPr>
        <w:t>C</w:t>
      </w:r>
      <w:r w:rsidRPr="00C66723">
        <w:rPr>
          <w:rFonts w:ascii="Calibri" w:eastAsia="Times" w:hAnsi="Calibri" w:cs="Calibri"/>
          <w:b/>
          <w:color w:val="0477AE"/>
          <w:sz w:val="28"/>
          <w:szCs w:val="28"/>
        </w:rPr>
        <w:t xml:space="preserve">orporate </w:t>
      </w:r>
      <w:r w:rsidR="00E13EA4" w:rsidRPr="00C66723">
        <w:rPr>
          <w:rFonts w:ascii="Calibri" w:eastAsia="Times" w:hAnsi="Calibri" w:cs="Calibri"/>
          <w:b/>
          <w:color w:val="0477AE"/>
          <w:sz w:val="28"/>
          <w:szCs w:val="28"/>
        </w:rPr>
        <w:t>T</w:t>
      </w:r>
      <w:r w:rsidRPr="00C66723">
        <w:rPr>
          <w:rFonts w:ascii="Calibri" w:eastAsia="Times" w:hAnsi="Calibri" w:cs="Calibri"/>
          <w:b/>
          <w:color w:val="0477AE"/>
          <w:sz w:val="28"/>
          <w:szCs w:val="28"/>
        </w:rPr>
        <w:t xml:space="preserve">ax </w:t>
      </w:r>
      <w:r w:rsidR="00E13EA4" w:rsidRPr="00C66723">
        <w:rPr>
          <w:rFonts w:ascii="Calibri" w:eastAsia="Times" w:hAnsi="Calibri" w:cs="Calibri"/>
          <w:b/>
          <w:color w:val="0477AE"/>
          <w:sz w:val="28"/>
          <w:szCs w:val="28"/>
        </w:rPr>
        <w:t>L</w:t>
      </w:r>
      <w:r w:rsidRPr="00C66723">
        <w:rPr>
          <w:rFonts w:ascii="Calibri" w:eastAsia="Times" w:hAnsi="Calibri" w:cs="Calibri"/>
          <w:b/>
          <w:color w:val="0477AE"/>
          <w:sz w:val="28"/>
          <w:szCs w:val="28"/>
        </w:rPr>
        <w:t xml:space="preserve">oopholes and </w:t>
      </w:r>
      <w:r w:rsidR="00E13EA4" w:rsidRPr="00C66723">
        <w:rPr>
          <w:rFonts w:ascii="Calibri" w:eastAsia="Times" w:hAnsi="Calibri" w:cs="Calibri"/>
          <w:b/>
          <w:color w:val="0477AE"/>
          <w:sz w:val="28"/>
          <w:szCs w:val="28"/>
        </w:rPr>
        <w:t>T</w:t>
      </w:r>
      <w:r w:rsidRPr="00C66723">
        <w:rPr>
          <w:rFonts w:ascii="Calibri" w:eastAsia="Times" w:hAnsi="Calibri" w:cs="Calibri"/>
          <w:b/>
          <w:color w:val="0477AE"/>
          <w:sz w:val="28"/>
          <w:szCs w:val="28"/>
        </w:rPr>
        <w:t xml:space="preserve">ax </w:t>
      </w:r>
      <w:r w:rsidR="00E13EA4" w:rsidRPr="00C66723">
        <w:rPr>
          <w:rFonts w:ascii="Calibri" w:eastAsia="Times" w:hAnsi="Calibri" w:cs="Calibri"/>
          <w:b/>
          <w:color w:val="0477AE"/>
          <w:sz w:val="28"/>
          <w:szCs w:val="28"/>
        </w:rPr>
        <w:t>B</w:t>
      </w:r>
      <w:r w:rsidRPr="00C66723">
        <w:rPr>
          <w:rFonts w:ascii="Calibri" w:eastAsia="Times" w:hAnsi="Calibri" w:cs="Calibri"/>
          <w:b/>
          <w:color w:val="0477AE"/>
          <w:sz w:val="28"/>
          <w:szCs w:val="28"/>
        </w:rPr>
        <w:t>reaks</w:t>
      </w:r>
    </w:p>
    <w:p w:rsidR="00F800E9" w:rsidRPr="00486B2A" w:rsidRDefault="00F800E9" w:rsidP="00F800E9">
      <w:pPr>
        <w:pStyle w:val="ListParagraph"/>
        <w:spacing w:after="0" w:line="240" w:lineRule="auto"/>
        <w:ind w:left="0"/>
        <w:rPr>
          <w:rFonts w:ascii="Calibri" w:eastAsia="Calibri" w:hAnsi="Calibri" w:cs="Calibri"/>
          <w:b/>
          <w:sz w:val="24"/>
          <w:szCs w:val="24"/>
        </w:rPr>
      </w:pPr>
    </w:p>
    <w:p w:rsidR="006E33F3" w:rsidRDefault="00DD74DB" w:rsidP="00180119">
      <w:pPr>
        <w:pStyle w:val="ListParagraph"/>
        <w:numPr>
          <w:ilvl w:val="0"/>
          <w:numId w:val="18"/>
        </w:numPr>
        <w:spacing w:after="0" w:line="240" w:lineRule="auto"/>
        <w:ind w:left="720"/>
        <w:rPr>
          <w:rFonts w:ascii="Calibri" w:eastAsia="Times" w:hAnsi="Calibri" w:cs="Calibri"/>
          <w:b/>
          <w:color w:val="0477AE"/>
          <w:sz w:val="24"/>
          <w:szCs w:val="24"/>
        </w:rPr>
      </w:pPr>
      <w:r w:rsidRPr="00E02592">
        <w:rPr>
          <w:rFonts w:ascii="Calibri" w:eastAsia="Times" w:hAnsi="Calibri" w:cs="Calibri"/>
          <w:b/>
          <w:color w:val="0477AE"/>
          <w:sz w:val="24"/>
          <w:szCs w:val="24"/>
        </w:rPr>
        <w:t>End</w:t>
      </w:r>
      <w:r w:rsidR="006E33F3" w:rsidRPr="00E02592">
        <w:rPr>
          <w:rFonts w:ascii="Calibri" w:eastAsia="Times" w:hAnsi="Calibri" w:cs="Calibri"/>
          <w:b/>
          <w:color w:val="0477AE"/>
          <w:sz w:val="24"/>
          <w:szCs w:val="24"/>
        </w:rPr>
        <w:t xml:space="preserve"> Abuses of Inventory Accounting (</w:t>
      </w:r>
      <w:r w:rsidR="006E33F3">
        <w:rPr>
          <w:rFonts w:ascii="Calibri" w:eastAsia="Times" w:hAnsi="Calibri" w:cs="Calibri"/>
          <w:b/>
          <w:color w:val="0477AE"/>
          <w:sz w:val="24"/>
          <w:szCs w:val="24"/>
        </w:rPr>
        <w:t>R</w:t>
      </w:r>
      <w:r w:rsidR="006E33F3" w:rsidRPr="00E02592">
        <w:rPr>
          <w:rFonts w:ascii="Calibri" w:eastAsia="Times" w:hAnsi="Calibri" w:cs="Calibri"/>
          <w:b/>
          <w:color w:val="0477AE"/>
          <w:sz w:val="24"/>
          <w:szCs w:val="24"/>
        </w:rPr>
        <w:t>epeal “Last in, First Out” (LIFO) and “Lower of Cost or Market</w:t>
      </w:r>
      <w:r w:rsidR="006E33F3" w:rsidRPr="001D6A78">
        <w:rPr>
          <w:rFonts w:ascii="Calibri" w:eastAsia="Times" w:hAnsi="Calibri" w:cs="Calibri"/>
          <w:b/>
          <w:color w:val="0477AE"/>
          <w:sz w:val="24"/>
          <w:szCs w:val="24"/>
        </w:rPr>
        <w:t xml:space="preserve">” (LCM) Rules </w:t>
      </w:r>
      <w:r w:rsidRPr="001D6A78">
        <w:rPr>
          <w:rFonts w:ascii="Calibri" w:eastAsia="Times" w:hAnsi="Calibri" w:cs="Calibri"/>
          <w:b/>
          <w:color w:val="0477AE"/>
          <w:sz w:val="24"/>
          <w:szCs w:val="24"/>
        </w:rPr>
        <w:t xml:space="preserve"> </w:t>
      </w:r>
    </w:p>
    <w:p w:rsidR="009C687E" w:rsidRPr="00E02592" w:rsidRDefault="000C4300" w:rsidP="001D6A78">
      <w:pPr>
        <w:pStyle w:val="ListParagraph"/>
        <w:spacing w:after="0" w:line="240" w:lineRule="auto"/>
        <w:rPr>
          <w:rFonts w:ascii="Calibri" w:eastAsia="Times" w:hAnsi="Calibri" w:cs="Calibri"/>
          <w:b/>
          <w:color w:val="0477AE"/>
          <w:sz w:val="24"/>
          <w:szCs w:val="24"/>
        </w:rPr>
      </w:pPr>
      <w:r w:rsidRPr="00E02592">
        <w:rPr>
          <w:rFonts w:ascii="Calibri" w:eastAsia="Times" w:hAnsi="Calibri" w:cs="Calibri"/>
          <w:b/>
          <w:color w:val="0477AE"/>
          <w:sz w:val="24"/>
          <w:szCs w:val="24"/>
        </w:rPr>
        <w:t>Revenue: $70 billion</w:t>
      </w:r>
      <w:r w:rsidR="00BC6FFD" w:rsidRPr="00E02592">
        <w:rPr>
          <w:rFonts w:ascii="Calibri" w:eastAsia="Times" w:hAnsi="Calibri" w:cs="Calibri"/>
          <w:b/>
          <w:color w:val="0477AE"/>
          <w:sz w:val="24"/>
          <w:szCs w:val="24"/>
        </w:rPr>
        <w:t xml:space="preserve"> over 10 years; </w:t>
      </w:r>
      <w:r w:rsidRPr="00E02592">
        <w:rPr>
          <w:rFonts w:ascii="Calibri" w:eastAsia="Times" w:hAnsi="Calibri" w:cs="Calibri"/>
          <w:b/>
          <w:color w:val="0477AE"/>
          <w:sz w:val="24"/>
          <w:szCs w:val="24"/>
        </w:rPr>
        <w:t>J</w:t>
      </w:r>
      <w:r w:rsidR="008A153F" w:rsidRPr="00E02592">
        <w:rPr>
          <w:rFonts w:ascii="Calibri" w:eastAsia="Times" w:hAnsi="Calibri" w:cs="Calibri"/>
          <w:b/>
          <w:color w:val="0477AE"/>
          <w:sz w:val="24"/>
          <w:szCs w:val="24"/>
        </w:rPr>
        <w:t>oint Committee on Taxation</w:t>
      </w:r>
      <w:r w:rsidR="009C687E" w:rsidRPr="00E02592">
        <w:rPr>
          <w:rFonts w:ascii="Calibri" w:eastAsia="Times" w:hAnsi="Calibri" w:cs="Calibri"/>
          <w:b/>
          <w:color w:val="0477AE"/>
          <w:sz w:val="24"/>
          <w:szCs w:val="24"/>
        </w:rPr>
        <w:t xml:space="preserve"> </w:t>
      </w:r>
    </w:p>
    <w:p w:rsidR="00BC6FFD" w:rsidRDefault="00BC6FFD" w:rsidP="00EC17DE">
      <w:pPr>
        <w:shd w:val="clear" w:color="auto" w:fill="FFFFFF"/>
        <w:spacing w:after="0" w:line="240" w:lineRule="auto"/>
        <w:ind w:left="720"/>
        <w:textAlignment w:val="baseline"/>
        <w:rPr>
          <w:rFonts w:ascii="Calibri" w:eastAsia="Times New Roman" w:hAnsi="Calibri" w:cs="Calibri"/>
          <w:color w:val="333333"/>
          <w:sz w:val="24"/>
          <w:szCs w:val="24"/>
        </w:rPr>
      </w:pPr>
    </w:p>
    <w:p w:rsidR="00935C27" w:rsidRDefault="00227437" w:rsidP="001D6A78">
      <w:pPr>
        <w:shd w:val="clear" w:color="auto" w:fill="FFFFFF"/>
        <w:spacing w:after="0" w:line="240" w:lineRule="auto"/>
        <w:ind w:left="720"/>
        <w:textAlignment w:val="baseline"/>
        <w:rPr>
          <w:rFonts w:ascii="Calibri" w:eastAsia="Times New Roman" w:hAnsi="Calibri" w:cs="Calibri"/>
          <w:color w:val="333333"/>
          <w:sz w:val="24"/>
          <w:szCs w:val="24"/>
        </w:rPr>
      </w:pPr>
      <w:r w:rsidRPr="00D10BF6">
        <w:rPr>
          <w:rFonts w:ascii="Calibri" w:eastAsia="Times New Roman" w:hAnsi="Calibri" w:cs="Calibri"/>
          <w:color w:val="333333"/>
          <w:sz w:val="24"/>
          <w:szCs w:val="24"/>
        </w:rPr>
        <w:t xml:space="preserve">The tax code </w:t>
      </w:r>
      <w:r w:rsidR="00E02592">
        <w:rPr>
          <w:rFonts w:ascii="Calibri" w:eastAsia="Times New Roman" w:hAnsi="Calibri" w:cs="Calibri"/>
          <w:color w:val="333333"/>
          <w:sz w:val="24"/>
          <w:szCs w:val="24"/>
        </w:rPr>
        <w:t xml:space="preserve">currently </w:t>
      </w:r>
      <w:r w:rsidRPr="00D10BF6">
        <w:rPr>
          <w:rFonts w:ascii="Calibri" w:eastAsia="Times New Roman" w:hAnsi="Calibri" w:cs="Calibri"/>
          <w:color w:val="333333"/>
          <w:sz w:val="24"/>
          <w:szCs w:val="24"/>
        </w:rPr>
        <w:t>allows companies to choose the most favorable method of valuing their inventory and cost of goods sold</w:t>
      </w:r>
      <w:r w:rsidR="00680DB9">
        <w:rPr>
          <w:rFonts w:ascii="Calibri" w:eastAsia="Times New Roman" w:hAnsi="Calibri" w:cs="Calibri"/>
          <w:color w:val="333333"/>
          <w:sz w:val="24"/>
          <w:szCs w:val="24"/>
        </w:rPr>
        <w:t>.  M</w:t>
      </w:r>
      <w:r w:rsidRPr="00D10BF6">
        <w:rPr>
          <w:rFonts w:ascii="Calibri" w:eastAsia="Times New Roman" w:hAnsi="Calibri" w:cs="Calibri"/>
          <w:color w:val="333333"/>
          <w:sz w:val="24"/>
          <w:szCs w:val="24"/>
        </w:rPr>
        <w:t xml:space="preserve">any taxpayers choose the “Last In, First Out,” or LIFO, method, which can provide a substantial tax-deferral benefit. </w:t>
      </w:r>
      <w:r w:rsidR="000C4300">
        <w:rPr>
          <w:rFonts w:ascii="Calibri" w:eastAsia="Times New Roman" w:hAnsi="Calibri" w:cs="Calibri"/>
          <w:color w:val="333333"/>
          <w:sz w:val="24"/>
          <w:szCs w:val="24"/>
        </w:rPr>
        <w:t>As Citizens for Tax Justice explains, “LIFO allows companies to deduct the (higher) cost of recently acquired or produced inventory, rather than the (lower) cost of older inventory.”</w:t>
      </w:r>
      <w:r w:rsidR="000C4300">
        <w:rPr>
          <w:rStyle w:val="EndnoteReference"/>
          <w:rFonts w:ascii="Calibri" w:eastAsia="Times New Roman" w:hAnsi="Calibri"/>
          <w:color w:val="333333"/>
          <w:sz w:val="24"/>
          <w:szCs w:val="24"/>
        </w:rPr>
        <w:endnoteReference w:id="12"/>
      </w:r>
      <w:r w:rsidR="000C4300">
        <w:rPr>
          <w:rFonts w:ascii="Calibri" w:eastAsia="Times New Roman" w:hAnsi="Calibri" w:cs="Calibri"/>
          <w:color w:val="333333"/>
          <w:sz w:val="24"/>
          <w:szCs w:val="24"/>
        </w:rPr>
        <w:t xml:space="preserve"> </w:t>
      </w:r>
      <w:r w:rsidRPr="00D10BF6">
        <w:rPr>
          <w:rFonts w:ascii="Calibri" w:eastAsia="Times New Roman" w:hAnsi="Calibri" w:cs="Calibri"/>
          <w:color w:val="333333"/>
          <w:sz w:val="24"/>
          <w:szCs w:val="24"/>
        </w:rPr>
        <w:t>LIFO, however, has been described as an inefficient and unnecessary subsidy for certain</w:t>
      </w:r>
      <w:r w:rsidR="00F800E9">
        <w:rPr>
          <w:rFonts w:ascii="Calibri" w:eastAsia="Times New Roman" w:hAnsi="Calibri" w:cs="Calibri"/>
          <w:color w:val="333333"/>
          <w:sz w:val="24"/>
          <w:szCs w:val="24"/>
        </w:rPr>
        <w:t xml:space="preserve"> businesses</w:t>
      </w:r>
      <w:r w:rsidR="00E02592">
        <w:rPr>
          <w:rFonts w:ascii="Calibri" w:eastAsia="Times New Roman" w:hAnsi="Calibri" w:cs="Calibri"/>
          <w:color w:val="333333"/>
          <w:sz w:val="24"/>
          <w:szCs w:val="24"/>
        </w:rPr>
        <w:t xml:space="preserve">, including oil companies, and it is not allowed by </w:t>
      </w:r>
      <w:r w:rsidRPr="00D10BF6">
        <w:rPr>
          <w:rFonts w:ascii="Calibri" w:eastAsia="Times New Roman" w:hAnsi="Calibri" w:cs="Calibri"/>
          <w:color w:val="333333"/>
          <w:sz w:val="24"/>
          <w:szCs w:val="24"/>
        </w:rPr>
        <w:t>International Financial Reporting Standards</w:t>
      </w:r>
      <w:r w:rsidR="00E02592">
        <w:rPr>
          <w:rFonts w:ascii="Calibri" w:eastAsia="Times New Roman" w:hAnsi="Calibri" w:cs="Calibri"/>
          <w:color w:val="333333"/>
          <w:sz w:val="24"/>
          <w:szCs w:val="24"/>
        </w:rPr>
        <w:t xml:space="preserve">. </w:t>
      </w:r>
    </w:p>
    <w:p w:rsidR="00935C27" w:rsidRDefault="00935C27" w:rsidP="001D6A78">
      <w:pPr>
        <w:shd w:val="clear" w:color="auto" w:fill="FFFFFF"/>
        <w:spacing w:after="0" w:line="240" w:lineRule="auto"/>
        <w:ind w:left="720"/>
        <w:textAlignment w:val="baseline"/>
        <w:rPr>
          <w:rFonts w:ascii="Calibri" w:eastAsia="Times New Roman" w:hAnsi="Calibri" w:cs="Calibri"/>
          <w:color w:val="333333"/>
          <w:sz w:val="24"/>
          <w:szCs w:val="24"/>
        </w:rPr>
      </w:pPr>
    </w:p>
    <w:p w:rsidR="003867AC" w:rsidRDefault="003867AC" w:rsidP="001D6A78">
      <w:pPr>
        <w:shd w:val="clear" w:color="auto" w:fill="FFFFFF"/>
        <w:spacing w:after="0" w:line="240" w:lineRule="auto"/>
        <w:ind w:left="720"/>
        <w:textAlignment w:val="baseline"/>
        <w:rPr>
          <w:rFonts w:ascii="Calibri" w:eastAsia="Times New Roman" w:hAnsi="Calibri" w:cs="Calibri"/>
          <w:color w:val="333333"/>
          <w:sz w:val="24"/>
          <w:szCs w:val="24"/>
        </w:rPr>
      </w:pPr>
    </w:p>
    <w:p w:rsidR="00227437" w:rsidRDefault="00E02592" w:rsidP="001D6A78">
      <w:pPr>
        <w:shd w:val="clear" w:color="auto" w:fill="FFFFFF"/>
        <w:spacing w:after="0" w:line="240" w:lineRule="auto"/>
        <w:ind w:left="720"/>
        <w:textAlignment w:val="baseline"/>
        <w:rPr>
          <w:rFonts w:ascii="Calibri" w:eastAsia="Times New Roman" w:hAnsi="Calibri" w:cs="Calibri"/>
          <w:color w:val="333333"/>
          <w:sz w:val="24"/>
          <w:szCs w:val="24"/>
        </w:rPr>
      </w:pPr>
      <w:r>
        <w:rPr>
          <w:rFonts w:ascii="Calibri" w:eastAsia="Times New Roman" w:hAnsi="Calibri" w:cs="Calibri"/>
          <w:color w:val="333333"/>
          <w:sz w:val="24"/>
          <w:szCs w:val="24"/>
        </w:rPr>
        <w:lastRenderedPageBreak/>
        <w:t xml:space="preserve">A related and </w:t>
      </w:r>
      <w:r w:rsidR="00227437" w:rsidRPr="00D10BF6">
        <w:rPr>
          <w:rFonts w:ascii="Calibri" w:eastAsia="Times New Roman" w:hAnsi="Calibri" w:cs="Calibri"/>
          <w:color w:val="333333"/>
          <w:sz w:val="24"/>
          <w:szCs w:val="24"/>
        </w:rPr>
        <w:t xml:space="preserve">similarly flawed accounting method known as “Lower of Cost or Market” </w:t>
      </w:r>
      <w:r>
        <w:rPr>
          <w:rFonts w:ascii="Calibri" w:eastAsia="Times New Roman" w:hAnsi="Calibri" w:cs="Calibri"/>
          <w:color w:val="333333"/>
          <w:sz w:val="24"/>
          <w:szCs w:val="24"/>
        </w:rPr>
        <w:t xml:space="preserve">(LCM) allows businesses to choose whether to value inventory at its cost or market value, whichever is less, resulting in </w:t>
      </w:r>
      <w:r w:rsidR="00680DB9">
        <w:rPr>
          <w:rFonts w:ascii="Calibri" w:eastAsia="Times New Roman" w:hAnsi="Calibri" w:cs="Calibri"/>
          <w:color w:val="333333"/>
          <w:sz w:val="24"/>
          <w:szCs w:val="24"/>
        </w:rPr>
        <w:t xml:space="preserve">apparently </w:t>
      </w:r>
      <w:r>
        <w:rPr>
          <w:rFonts w:ascii="Calibri" w:eastAsia="Times New Roman" w:hAnsi="Calibri" w:cs="Calibri"/>
          <w:color w:val="333333"/>
          <w:sz w:val="24"/>
          <w:szCs w:val="24"/>
        </w:rPr>
        <w:t xml:space="preserve">smaller profits—and lower tax.  Phasing out LIFO and LCM over a transition period </w:t>
      </w:r>
      <w:r w:rsidR="00227437" w:rsidRPr="00D10BF6">
        <w:rPr>
          <w:rFonts w:ascii="Calibri" w:eastAsia="Times New Roman" w:hAnsi="Calibri" w:cs="Calibri"/>
          <w:color w:val="333333"/>
          <w:sz w:val="24"/>
          <w:szCs w:val="24"/>
        </w:rPr>
        <w:t>would raise $</w:t>
      </w:r>
      <w:r w:rsidR="00A35740">
        <w:rPr>
          <w:rFonts w:ascii="Calibri" w:eastAsia="Times New Roman" w:hAnsi="Calibri" w:cs="Calibri"/>
          <w:color w:val="333333"/>
          <w:sz w:val="24"/>
          <w:szCs w:val="24"/>
        </w:rPr>
        <w:t>6</w:t>
      </w:r>
      <w:r w:rsidR="00BC6FFD">
        <w:rPr>
          <w:rFonts w:ascii="Calibri" w:eastAsia="Times New Roman" w:hAnsi="Calibri" w:cs="Calibri"/>
          <w:color w:val="333333"/>
          <w:sz w:val="24"/>
          <w:szCs w:val="24"/>
        </w:rPr>
        <w:t>9</w:t>
      </w:r>
      <w:r w:rsidR="00A35740">
        <w:rPr>
          <w:rFonts w:ascii="Calibri" w:eastAsia="Times New Roman" w:hAnsi="Calibri" w:cs="Calibri"/>
          <w:color w:val="333333"/>
          <w:sz w:val="24"/>
          <w:szCs w:val="24"/>
        </w:rPr>
        <w:t>.</w:t>
      </w:r>
      <w:r w:rsidR="00BC6FFD">
        <w:rPr>
          <w:rFonts w:ascii="Calibri" w:eastAsia="Times New Roman" w:hAnsi="Calibri" w:cs="Calibri"/>
          <w:color w:val="333333"/>
          <w:sz w:val="24"/>
          <w:szCs w:val="24"/>
        </w:rPr>
        <w:t>9</w:t>
      </w:r>
      <w:r w:rsidR="000C4300" w:rsidRPr="00D10BF6">
        <w:rPr>
          <w:rFonts w:ascii="Calibri" w:eastAsia="Times New Roman" w:hAnsi="Calibri" w:cs="Calibri"/>
          <w:color w:val="333333"/>
          <w:sz w:val="24"/>
          <w:szCs w:val="24"/>
        </w:rPr>
        <w:t xml:space="preserve"> </w:t>
      </w:r>
      <w:r w:rsidR="00227437" w:rsidRPr="00D10BF6">
        <w:rPr>
          <w:rFonts w:ascii="Calibri" w:eastAsia="Times New Roman" w:hAnsi="Calibri" w:cs="Calibri"/>
          <w:color w:val="333333"/>
          <w:sz w:val="24"/>
          <w:szCs w:val="24"/>
        </w:rPr>
        <w:t>billion over 10 years</w:t>
      </w:r>
      <w:r w:rsidR="000C4300">
        <w:rPr>
          <w:rFonts w:ascii="Calibri" w:eastAsia="Times New Roman" w:hAnsi="Calibri" w:cs="Calibri"/>
          <w:color w:val="333333"/>
          <w:sz w:val="24"/>
          <w:szCs w:val="24"/>
        </w:rPr>
        <w:t xml:space="preserve"> according to the Joint Committee</w:t>
      </w:r>
      <w:r w:rsidR="00F800E9">
        <w:rPr>
          <w:rFonts w:ascii="Calibri" w:eastAsia="Times New Roman" w:hAnsi="Calibri" w:cs="Calibri"/>
          <w:color w:val="333333"/>
          <w:sz w:val="24"/>
          <w:szCs w:val="24"/>
        </w:rPr>
        <w:t xml:space="preserve"> on Taxation</w:t>
      </w:r>
      <w:r w:rsidR="000C4300">
        <w:rPr>
          <w:rFonts w:ascii="Calibri" w:eastAsia="Times New Roman" w:hAnsi="Calibri" w:cs="Calibri"/>
          <w:color w:val="333333"/>
          <w:sz w:val="24"/>
          <w:szCs w:val="24"/>
        </w:rPr>
        <w:t>.</w:t>
      </w:r>
      <w:r w:rsidR="000C4300">
        <w:rPr>
          <w:rStyle w:val="EndnoteReference"/>
          <w:rFonts w:ascii="Calibri" w:eastAsia="Times New Roman" w:hAnsi="Calibri"/>
          <w:color w:val="333333"/>
          <w:sz w:val="24"/>
          <w:szCs w:val="24"/>
        </w:rPr>
        <w:endnoteReference w:id="13"/>
      </w:r>
    </w:p>
    <w:p w:rsidR="003867AC" w:rsidRDefault="003867AC" w:rsidP="001D6A78">
      <w:pPr>
        <w:shd w:val="clear" w:color="auto" w:fill="FFFFFF"/>
        <w:spacing w:after="0" w:line="240" w:lineRule="auto"/>
        <w:ind w:left="720"/>
        <w:textAlignment w:val="baseline"/>
      </w:pPr>
    </w:p>
    <w:p w:rsidR="00F800E9" w:rsidRPr="00C66723" w:rsidRDefault="009C687E"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End </w:t>
      </w:r>
      <w:r w:rsidR="00BC6FFD" w:rsidRPr="00C66723">
        <w:rPr>
          <w:rFonts w:ascii="Calibri" w:eastAsia="Times" w:hAnsi="Calibri" w:cs="Calibri"/>
          <w:b/>
          <w:color w:val="0477AE"/>
          <w:sz w:val="24"/>
          <w:szCs w:val="24"/>
        </w:rPr>
        <w:t>S</w:t>
      </w:r>
      <w:r w:rsidRPr="00C66723">
        <w:rPr>
          <w:rFonts w:ascii="Calibri" w:eastAsia="Times" w:hAnsi="Calibri" w:cs="Calibri"/>
          <w:b/>
          <w:color w:val="0477AE"/>
          <w:sz w:val="24"/>
          <w:szCs w:val="24"/>
        </w:rPr>
        <w:t xml:space="preserve">pecial </w:t>
      </w:r>
      <w:r w:rsidR="00BC6FFD" w:rsidRPr="00C66723">
        <w:rPr>
          <w:rFonts w:ascii="Calibri" w:eastAsia="Times" w:hAnsi="Calibri" w:cs="Calibri"/>
          <w:b/>
          <w:color w:val="0477AE"/>
          <w:sz w:val="24"/>
          <w:szCs w:val="24"/>
        </w:rPr>
        <w:t>F</w:t>
      </w:r>
      <w:r w:rsidRPr="00C66723">
        <w:rPr>
          <w:rFonts w:ascii="Calibri" w:eastAsia="Times" w:hAnsi="Calibri" w:cs="Calibri"/>
          <w:b/>
          <w:color w:val="0477AE"/>
          <w:sz w:val="24"/>
          <w:szCs w:val="24"/>
        </w:rPr>
        <w:t>ossil</w:t>
      </w:r>
      <w:r w:rsidR="00BC6FFD" w:rsidRPr="00C66723">
        <w:rPr>
          <w:rFonts w:ascii="Calibri" w:eastAsia="Times" w:hAnsi="Calibri" w:cs="Calibri"/>
          <w:b/>
          <w:color w:val="0477AE"/>
          <w:sz w:val="24"/>
          <w:szCs w:val="24"/>
        </w:rPr>
        <w:t>-F</w:t>
      </w:r>
      <w:r w:rsidRPr="00C66723">
        <w:rPr>
          <w:rFonts w:ascii="Calibri" w:eastAsia="Times" w:hAnsi="Calibri" w:cs="Calibri"/>
          <w:b/>
          <w:color w:val="0477AE"/>
          <w:sz w:val="24"/>
          <w:szCs w:val="24"/>
        </w:rPr>
        <w:t xml:space="preserve">uel </w:t>
      </w:r>
      <w:r w:rsidR="00BC6FFD" w:rsidRPr="00C66723">
        <w:rPr>
          <w:rFonts w:ascii="Calibri" w:eastAsia="Times" w:hAnsi="Calibri" w:cs="Calibri"/>
          <w:b/>
          <w:color w:val="0477AE"/>
          <w:sz w:val="24"/>
          <w:szCs w:val="24"/>
        </w:rPr>
        <w:t>T</w:t>
      </w:r>
      <w:r w:rsidRPr="00C66723">
        <w:rPr>
          <w:rFonts w:ascii="Calibri" w:eastAsia="Times" w:hAnsi="Calibri" w:cs="Calibri"/>
          <w:b/>
          <w:color w:val="0477AE"/>
          <w:sz w:val="24"/>
          <w:szCs w:val="24"/>
        </w:rPr>
        <w:t xml:space="preserve">ax </w:t>
      </w:r>
      <w:r w:rsidR="00BC6FFD" w:rsidRPr="00C66723">
        <w:rPr>
          <w:rFonts w:ascii="Calibri" w:eastAsia="Times" w:hAnsi="Calibri" w:cs="Calibri"/>
          <w:b/>
          <w:color w:val="0477AE"/>
          <w:sz w:val="24"/>
          <w:szCs w:val="24"/>
        </w:rPr>
        <w:t>B</w:t>
      </w:r>
      <w:r w:rsidRPr="00C66723">
        <w:rPr>
          <w:rFonts w:ascii="Calibri" w:eastAsia="Times" w:hAnsi="Calibri" w:cs="Calibri"/>
          <w:b/>
          <w:color w:val="0477AE"/>
          <w:sz w:val="24"/>
          <w:szCs w:val="24"/>
        </w:rPr>
        <w:t xml:space="preserve">reaks </w:t>
      </w:r>
    </w:p>
    <w:p w:rsidR="004642FD" w:rsidRPr="00C66723" w:rsidRDefault="00F800E9"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Revenue: </w:t>
      </w:r>
      <w:r w:rsidR="009C687E" w:rsidRPr="00C66723">
        <w:rPr>
          <w:rFonts w:ascii="Calibri" w:eastAsia="Times" w:hAnsi="Calibri" w:cs="Calibri"/>
          <w:b/>
          <w:color w:val="0477AE"/>
          <w:sz w:val="24"/>
          <w:szCs w:val="24"/>
        </w:rPr>
        <w:t>$25 billion</w:t>
      </w:r>
      <w:r w:rsidRPr="00C66723">
        <w:rPr>
          <w:rFonts w:ascii="Calibri" w:eastAsia="Times" w:hAnsi="Calibri" w:cs="Calibri"/>
          <w:b/>
          <w:color w:val="0477AE"/>
          <w:sz w:val="24"/>
          <w:szCs w:val="24"/>
        </w:rPr>
        <w:t xml:space="preserve"> </w:t>
      </w:r>
      <w:r w:rsidR="00BC6FFD" w:rsidRPr="00C66723">
        <w:rPr>
          <w:rFonts w:ascii="Calibri" w:eastAsia="Times" w:hAnsi="Calibri" w:cs="Calibri"/>
          <w:b/>
          <w:color w:val="0477AE"/>
          <w:sz w:val="24"/>
          <w:szCs w:val="24"/>
        </w:rPr>
        <w:t xml:space="preserve">over 10 years; </w:t>
      </w:r>
      <w:r w:rsidRPr="00C66723">
        <w:rPr>
          <w:rFonts w:ascii="Calibri" w:eastAsia="Times" w:hAnsi="Calibri" w:cs="Calibri"/>
          <w:b/>
          <w:color w:val="0477AE"/>
          <w:sz w:val="24"/>
          <w:szCs w:val="24"/>
        </w:rPr>
        <w:t>Joint Committee on Taxation</w:t>
      </w:r>
    </w:p>
    <w:p w:rsidR="00AE60F5" w:rsidRDefault="00AE60F5" w:rsidP="00EC17DE">
      <w:pPr>
        <w:pStyle w:val="ListParagraph"/>
        <w:spacing w:after="0" w:line="240" w:lineRule="auto"/>
        <w:rPr>
          <w:sz w:val="24"/>
          <w:szCs w:val="24"/>
        </w:rPr>
      </w:pPr>
    </w:p>
    <w:p w:rsidR="00AE60F5" w:rsidRDefault="00AE60F5" w:rsidP="00EC17DE">
      <w:pPr>
        <w:shd w:val="clear" w:color="auto" w:fill="FFFFFF"/>
        <w:spacing w:after="0" w:line="240" w:lineRule="auto"/>
        <w:ind w:left="720"/>
        <w:textAlignment w:val="baseline"/>
        <w:rPr>
          <w:rFonts w:ascii="Calibri" w:eastAsia="Times New Roman" w:hAnsi="Calibri" w:cs="Times New Roman"/>
          <w:color w:val="333333"/>
          <w:sz w:val="24"/>
          <w:szCs w:val="24"/>
        </w:rPr>
      </w:pPr>
      <w:r w:rsidRPr="00AE60F5">
        <w:rPr>
          <w:rFonts w:ascii="Calibri" w:eastAsia="Times New Roman" w:hAnsi="Calibri" w:cs="Times New Roman"/>
          <w:color w:val="333333"/>
          <w:sz w:val="24"/>
          <w:szCs w:val="24"/>
        </w:rPr>
        <w:t xml:space="preserve">The oil and gas industry continues to collect billions in </w:t>
      </w:r>
      <w:r w:rsidR="00BF19D7">
        <w:rPr>
          <w:rFonts w:ascii="Calibri" w:eastAsia="Times New Roman" w:hAnsi="Calibri" w:cs="Times New Roman"/>
          <w:color w:val="333333"/>
          <w:sz w:val="24"/>
          <w:szCs w:val="24"/>
        </w:rPr>
        <w:t xml:space="preserve">special </w:t>
      </w:r>
      <w:r w:rsidRPr="00AE60F5">
        <w:rPr>
          <w:rFonts w:ascii="Calibri" w:eastAsia="Times New Roman" w:hAnsi="Calibri" w:cs="Times New Roman"/>
          <w:color w:val="333333"/>
          <w:sz w:val="24"/>
          <w:szCs w:val="24"/>
        </w:rPr>
        <w:t>tax subsidies</w:t>
      </w:r>
      <w:r>
        <w:rPr>
          <w:rFonts w:ascii="Calibri" w:eastAsia="Times New Roman" w:hAnsi="Calibri" w:cs="Times New Roman"/>
          <w:color w:val="333333"/>
          <w:sz w:val="24"/>
          <w:szCs w:val="24"/>
        </w:rPr>
        <w:t xml:space="preserve"> every year</w:t>
      </w:r>
      <w:r w:rsidR="00BF19D7">
        <w:rPr>
          <w:rFonts w:ascii="Calibri" w:eastAsia="Times New Roman" w:hAnsi="Calibri" w:cs="Times New Roman"/>
          <w:color w:val="333333"/>
          <w:sz w:val="24"/>
          <w:szCs w:val="24"/>
        </w:rPr>
        <w:t xml:space="preserve"> </w:t>
      </w:r>
      <w:r w:rsidR="00BC6FFD">
        <w:rPr>
          <w:rFonts w:ascii="Calibri" w:eastAsia="Times New Roman" w:hAnsi="Calibri" w:cs="Times New Roman"/>
          <w:color w:val="333333"/>
          <w:sz w:val="24"/>
          <w:szCs w:val="24"/>
        </w:rPr>
        <w:t xml:space="preserve">– </w:t>
      </w:r>
      <w:r>
        <w:rPr>
          <w:rFonts w:ascii="Calibri" w:eastAsia="Times New Roman" w:hAnsi="Calibri" w:cs="Times New Roman"/>
          <w:color w:val="333333"/>
          <w:sz w:val="24"/>
          <w:szCs w:val="24"/>
        </w:rPr>
        <w:t>relics</w:t>
      </w:r>
      <w:r w:rsidR="00BF19D7">
        <w:rPr>
          <w:rFonts w:ascii="Calibri" w:eastAsia="Times New Roman" w:hAnsi="Calibri" w:cs="Times New Roman"/>
          <w:color w:val="333333"/>
          <w:sz w:val="24"/>
          <w:szCs w:val="24"/>
        </w:rPr>
        <w:t xml:space="preserve"> of </w:t>
      </w:r>
      <w:r>
        <w:rPr>
          <w:rFonts w:ascii="Calibri" w:eastAsia="Times New Roman" w:hAnsi="Calibri" w:cs="Times New Roman"/>
          <w:color w:val="333333"/>
          <w:sz w:val="24"/>
          <w:szCs w:val="24"/>
        </w:rPr>
        <w:t xml:space="preserve">old energy policies </w:t>
      </w:r>
      <w:r w:rsidR="00BF19D7">
        <w:rPr>
          <w:rFonts w:ascii="Calibri" w:eastAsia="Times New Roman" w:hAnsi="Calibri" w:cs="Times New Roman"/>
          <w:color w:val="333333"/>
          <w:sz w:val="24"/>
          <w:szCs w:val="24"/>
        </w:rPr>
        <w:t>that</w:t>
      </w:r>
      <w:r>
        <w:rPr>
          <w:rFonts w:ascii="Calibri" w:eastAsia="Times New Roman" w:hAnsi="Calibri" w:cs="Times New Roman"/>
          <w:color w:val="333333"/>
          <w:sz w:val="24"/>
          <w:szCs w:val="24"/>
        </w:rPr>
        <w:t xml:space="preserve"> are simply not needed at a time when oil prices approach</w:t>
      </w:r>
      <w:r w:rsidRPr="00AE60F5">
        <w:rPr>
          <w:rFonts w:ascii="Calibri" w:eastAsia="Times New Roman" w:hAnsi="Calibri" w:cs="Times New Roman"/>
          <w:color w:val="333333"/>
          <w:sz w:val="24"/>
          <w:szCs w:val="24"/>
        </w:rPr>
        <w:t xml:space="preserve"> $100 per barrel.</w:t>
      </w:r>
      <w:r w:rsidR="001D6A78">
        <w:rPr>
          <w:rStyle w:val="EndnoteReference"/>
          <w:rFonts w:ascii="Calibri" w:eastAsia="Times New Roman" w:hAnsi="Calibri"/>
          <w:color w:val="333333"/>
          <w:sz w:val="24"/>
          <w:szCs w:val="24"/>
        </w:rPr>
        <w:endnoteReference w:id="14"/>
      </w:r>
      <w:r w:rsidRPr="00AE60F5">
        <w:rPr>
          <w:rFonts w:ascii="Calibri" w:eastAsia="Times New Roman" w:hAnsi="Calibri" w:cs="Times New Roman"/>
          <w:color w:val="333333"/>
          <w:sz w:val="24"/>
          <w:szCs w:val="24"/>
        </w:rPr>
        <w:t xml:space="preserve"> </w:t>
      </w:r>
      <w:r>
        <w:rPr>
          <w:rFonts w:ascii="Calibri" w:eastAsia="Times New Roman" w:hAnsi="Calibri" w:cs="Times New Roman"/>
          <w:color w:val="333333"/>
          <w:sz w:val="24"/>
          <w:szCs w:val="24"/>
        </w:rPr>
        <w:t>T</w:t>
      </w:r>
      <w:r w:rsidRPr="00AE60F5">
        <w:rPr>
          <w:rFonts w:ascii="Calibri" w:eastAsia="Times New Roman" w:hAnsi="Calibri" w:cs="Times New Roman"/>
          <w:color w:val="333333"/>
          <w:sz w:val="24"/>
          <w:szCs w:val="24"/>
        </w:rPr>
        <w:t xml:space="preserve">he G-20 nations </w:t>
      </w:r>
      <w:r>
        <w:rPr>
          <w:rFonts w:ascii="Calibri" w:eastAsia="Times New Roman" w:hAnsi="Calibri" w:cs="Times New Roman"/>
          <w:color w:val="333333"/>
          <w:sz w:val="24"/>
          <w:szCs w:val="24"/>
        </w:rPr>
        <w:t xml:space="preserve">have </w:t>
      </w:r>
      <w:r w:rsidRPr="00AE60F5">
        <w:rPr>
          <w:rFonts w:ascii="Calibri" w:eastAsia="Times New Roman" w:hAnsi="Calibri" w:cs="Times New Roman"/>
          <w:color w:val="333333"/>
          <w:sz w:val="24"/>
          <w:szCs w:val="24"/>
        </w:rPr>
        <w:t>agreed to phase out inefficient and</w:t>
      </w:r>
      <w:r>
        <w:rPr>
          <w:rFonts w:ascii="Calibri" w:eastAsia="Times New Roman" w:hAnsi="Calibri" w:cs="Times New Roman"/>
          <w:color w:val="333333"/>
          <w:sz w:val="24"/>
          <w:szCs w:val="24"/>
        </w:rPr>
        <w:t xml:space="preserve"> w</w:t>
      </w:r>
      <w:r w:rsidR="00005C94">
        <w:rPr>
          <w:rFonts w:ascii="Calibri" w:eastAsia="Times New Roman" w:hAnsi="Calibri" w:cs="Times New Roman"/>
          <w:color w:val="333333"/>
          <w:sz w:val="24"/>
          <w:szCs w:val="24"/>
        </w:rPr>
        <w:t xml:space="preserve">asteful fossil-fuel subsidies. </w:t>
      </w:r>
      <w:r>
        <w:rPr>
          <w:rFonts w:ascii="Calibri" w:eastAsia="Times New Roman" w:hAnsi="Calibri" w:cs="Times New Roman"/>
          <w:color w:val="333333"/>
          <w:sz w:val="24"/>
          <w:szCs w:val="24"/>
        </w:rPr>
        <w:t xml:space="preserve">President Obama has proposed </w:t>
      </w:r>
      <w:r w:rsidR="00BF19D7">
        <w:rPr>
          <w:rFonts w:ascii="Calibri" w:eastAsia="Times New Roman" w:hAnsi="Calibri" w:cs="Times New Roman"/>
          <w:color w:val="333333"/>
          <w:sz w:val="24"/>
          <w:szCs w:val="24"/>
        </w:rPr>
        <w:t>to eliminate the following tax breaks</w:t>
      </w:r>
      <w:r>
        <w:rPr>
          <w:rFonts w:ascii="Calibri" w:eastAsia="Times New Roman" w:hAnsi="Calibri" w:cs="Times New Roman"/>
          <w:color w:val="333333"/>
          <w:sz w:val="24"/>
          <w:szCs w:val="24"/>
        </w:rPr>
        <w:t xml:space="preserve">, which would </w:t>
      </w:r>
      <w:r w:rsidR="001D6A78">
        <w:rPr>
          <w:rFonts w:ascii="Calibri" w:eastAsia="Times New Roman" w:hAnsi="Calibri" w:cs="Times New Roman"/>
          <w:color w:val="333333"/>
          <w:sz w:val="24"/>
          <w:szCs w:val="24"/>
        </w:rPr>
        <w:t xml:space="preserve">raise </w:t>
      </w:r>
      <w:r w:rsidRPr="00AE60F5">
        <w:rPr>
          <w:rFonts w:ascii="Calibri" w:eastAsia="Times New Roman" w:hAnsi="Calibri" w:cs="Times New Roman"/>
          <w:color w:val="333333"/>
          <w:sz w:val="24"/>
          <w:szCs w:val="24"/>
        </w:rPr>
        <w:t>$2</w:t>
      </w:r>
      <w:r w:rsidR="00A35740">
        <w:rPr>
          <w:rFonts w:ascii="Calibri" w:eastAsia="Times New Roman" w:hAnsi="Calibri" w:cs="Times New Roman"/>
          <w:color w:val="333333"/>
          <w:sz w:val="24"/>
          <w:szCs w:val="24"/>
        </w:rPr>
        <w:t>4.9</w:t>
      </w:r>
      <w:r w:rsidRPr="00AE60F5">
        <w:rPr>
          <w:rFonts w:ascii="Calibri" w:eastAsia="Times New Roman" w:hAnsi="Calibri" w:cs="Times New Roman"/>
          <w:color w:val="333333"/>
          <w:sz w:val="24"/>
          <w:szCs w:val="24"/>
        </w:rPr>
        <w:t xml:space="preserve"> billion over 10 years</w:t>
      </w:r>
      <w:r>
        <w:rPr>
          <w:rFonts w:ascii="Calibri" w:eastAsia="Times New Roman" w:hAnsi="Calibri" w:cs="Times New Roman"/>
          <w:color w:val="333333"/>
          <w:sz w:val="24"/>
          <w:szCs w:val="24"/>
        </w:rPr>
        <w:t xml:space="preserve">, according to the </w:t>
      </w:r>
      <w:r w:rsidR="00BC6FFD">
        <w:rPr>
          <w:rFonts w:ascii="Calibri" w:eastAsia="Times New Roman" w:hAnsi="Calibri" w:cs="Times New Roman"/>
          <w:color w:val="333333"/>
          <w:sz w:val="24"/>
          <w:szCs w:val="24"/>
        </w:rPr>
        <w:t>JCT</w:t>
      </w:r>
      <w:r w:rsidR="009C4A2B">
        <w:rPr>
          <w:rFonts w:ascii="Calibri" w:eastAsia="Times New Roman" w:hAnsi="Calibri" w:cs="Times New Roman"/>
          <w:color w:val="333333"/>
          <w:sz w:val="24"/>
          <w:szCs w:val="24"/>
        </w:rPr>
        <w:t>:</w:t>
      </w:r>
      <w:r w:rsidR="002E3173">
        <w:rPr>
          <w:rStyle w:val="EndnoteReference"/>
          <w:rFonts w:ascii="Calibri" w:eastAsia="Times New Roman" w:hAnsi="Calibri"/>
          <w:color w:val="333333"/>
          <w:sz w:val="24"/>
          <w:szCs w:val="24"/>
        </w:rPr>
        <w:endnoteReference w:id="15"/>
      </w:r>
    </w:p>
    <w:p w:rsidR="00AE60F5" w:rsidRPr="00AE60F5" w:rsidRDefault="00AE60F5" w:rsidP="009C4A2B">
      <w:pPr>
        <w:numPr>
          <w:ilvl w:val="0"/>
          <w:numId w:val="13"/>
        </w:numPr>
        <w:shd w:val="clear" w:color="auto" w:fill="FFFFFF"/>
        <w:spacing w:after="0" w:line="240" w:lineRule="auto"/>
        <w:ind w:left="1080"/>
        <w:textAlignment w:val="baseline"/>
        <w:rPr>
          <w:rFonts w:ascii="Calibri" w:eastAsia="Times New Roman" w:hAnsi="Calibri" w:cs="Times New Roman"/>
          <w:color w:val="333333"/>
          <w:sz w:val="24"/>
          <w:szCs w:val="24"/>
        </w:rPr>
      </w:pPr>
      <w:r w:rsidRPr="00AE60F5">
        <w:rPr>
          <w:rFonts w:ascii="Calibri" w:eastAsia="Times New Roman" w:hAnsi="Calibri" w:cs="Times New Roman"/>
          <w:color w:val="333333"/>
          <w:sz w:val="24"/>
          <w:szCs w:val="24"/>
        </w:rPr>
        <w:t>Expensing of intangible drilling costs</w:t>
      </w:r>
    </w:p>
    <w:p w:rsidR="00AE60F5" w:rsidRPr="00AE60F5" w:rsidRDefault="00AE60F5" w:rsidP="009C4A2B">
      <w:pPr>
        <w:numPr>
          <w:ilvl w:val="0"/>
          <w:numId w:val="13"/>
        </w:numPr>
        <w:shd w:val="clear" w:color="auto" w:fill="FFFFFF"/>
        <w:spacing w:after="0" w:line="240" w:lineRule="auto"/>
        <w:ind w:left="1080"/>
        <w:textAlignment w:val="baseline"/>
        <w:rPr>
          <w:rFonts w:ascii="Calibri" w:eastAsia="Times New Roman" w:hAnsi="Calibri" w:cs="Times New Roman"/>
          <w:color w:val="333333"/>
          <w:sz w:val="24"/>
          <w:szCs w:val="24"/>
        </w:rPr>
      </w:pPr>
      <w:r w:rsidRPr="00AE60F5">
        <w:rPr>
          <w:rFonts w:ascii="Calibri" w:eastAsia="Times New Roman" w:hAnsi="Calibri" w:cs="Times New Roman"/>
          <w:color w:val="333333"/>
          <w:sz w:val="24"/>
          <w:szCs w:val="24"/>
        </w:rPr>
        <w:t>Percentage depletion for oil and gas wells</w:t>
      </w:r>
    </w:p>
    <w:p w:rsidR="00AE60F5" w:rsidRPr="00AE60F5" w:rsidRDefault="001D6A78" w:rsidP="009C4A2B">
      <w:pPr>
        <w:numPr>
          <w:ilvl w:val="0"/>
          <w:numId w:val="13"/>
        </w:numPr>
        <w:shd w:val="clear" w:color="auto" w:fill="FFFFFF"/>
        <w:spacing w:after="0" w:line="240" w:lineRule="auto"/>
        <w:ind w:left="1080"/>
        <w:textAlignment w:val="baseline"/>
        <w:rPr>
          <w:rFonts w:ascii="Calibri" w:eastAsia="Times New Roman" w:hAnsi="Calibri" w:cs="Times New Roman"/>
          <w:color w:val="333333"/>
          <w:sz w:val="24"/>
          <w:szCs w:val="24"/>
        </w:rPr>
      </w:pPr>
      <w:r>
        <w:rPr>
          <w:rFonts w:ascii="Calibri" w:eastAsia="Times New Roman" w:hAnsi="Calibri" w:cs="Times New Roman"/>
          <w:color w:val="333333"/>
          <w:sz w:val="24"/>
          <w:szCs w:val="24"/>
        </w:rPr>
        <w:t>Increase t</w:t>
      </w:r>
      <w:r w:rsidR="00AE60F5" w:rsidRPr="00AE60F5">
        <w:rPr>
          <w:rFonts w:ascii="Calibri" w:eastAsia="Times New Roman" w:hAnsi="Calibri" w:cs="Times New Roman"/>
          <w:color w:val="333333"/>
          <w:sz w:val="24"/>
          <w:szCs w:val="24"/>
        </w:rPr>
        <w:t>wo-year geological and geophysical amortization period for independent producers</w:t>
      </w:r>
      <w:r>
        <w:rPr>
          <w:rFonts w:ascii="Calibri" w:eastAsia="Times New Roman" w:hAnsi="Calibri" w:cs="Times New Roman"/>
          <w:color w:val="333333"/>
          <w:sz w:val="24"/>
          <w:szCs w:val="24"/>
        </w:rPr>
        <w:t xml:space="preserve"> to seven years</w:t>
      </w:r>
    </w:p>
    <w:p w:rsidR="00AE60F5" w:rsidRPr="00AE60F5" w:rsidRDefault="00AE60F5" w:rsidP="009C4A2B">
      <w:pPr>
        <w:numPr>
          <w:ilvl w:val="0"/>
          <w:numId w:val="13"/>
        </w:numPr>
        <w:shd w:val="clear" w:color="auto" w:fill="FFFFFF"/>
        <w:spacing w:after="0" w:line="240" w:lineRule="auto"/>
        <w:ind w:left="1080"/>
        <w:textAlignment w:val="baseline"/>
        <w:rPr>
          <w:rFonts w:ascii="Calibri" w:eastAsia="Times New Roman" w:hAnsi="Calibri" w:cs="Times New Roman"/>
          <w:color w:val="333333"/>
          <w:sz w:val="24"/>
          <w:szCs w:val="24"/>
        </w:rPr>
      </w:pPr>
      <w:r w:rsidRPr="00AE60F5">
        <w:rPr>
          <w:rFonts w:ascii="Calibri" w:eastAsia="Times New Roman" w:hAnsi="Calibri" w:cs="Times New Roman"/>
          <w:color w:val="333333"/>
          <w:sz w:val="24"/>
          <w:szCs w:val="24"/>
        </w:rPr>
        <w:t xml:space="preserve">Deduction for tertiary </w:t>
      </w:r>
      <w:proofErr w:type="spellStart"/>
      <w:r w:rsidRPr="00AE60F5">
        <w:rPr>
          <w:rFonts w:ascii="Calibri" w:eastAsia="Times New Roman" w:hAnsi="Calibri" w:cs="Times New Roman"/>
          <w:color w:val="333333"/>
          <w:sz w:val="24"/>
          <w:szCs w:val="24"/>
        </w:rPr>
        <w:t>injectants</w:t>
      </w:r>
      <w:proofErr w:type="spellEnd"/>
    </w:p>
    <w:p w:rsidR="00AE60F5" w:rsidRPr="00AE60F5" w:rsidRDefault="00AE60F5" w:rsidP="009C4A2B">
      <w:pPr>
        <w:numPr>
          <w:ilvl w:val="0"/>
          <w:numId w:val="13"/>
        </w:numPr>
        <w:shd w:val="clear" w:color="auto" w:fill="FFFFFF"/>
        <w:spacing w:after="0" w:line="240" w:lineRule="auto"/>
        <w:ind w:left="1080"/>
        <w:textAlignment w:val="baseline"/>
        <w:rPr>
          <w:rFonts w:ascii="Calibri" w:eastAsia="Times New Roman" w:hAnsi="Calibri" w:cs="Times New Roman"/>
          <w:color w:val="333333"/>
          <w:sz w:val="24"/>
          <w:szCs w:val="24"/>
        </w:rPr>
      </w:pPr>
      <w:r w:rsidRPr="00AE60F5">
        <w:rPr>
          <w:rFonts w:ascii="Calibri" w:eastAsia="Times New Roman" w:hAnsi="Calibri" w:cs="Times New Roman"/>
          <w:color w:val="333333"/>
          <w:sz w:val="24"/>
          <w:szCs w:val="24"/>
        </w:rPr>
        <w:t>Exemption to passive loss limitation for working interest in oil and natural gas properties</w:t>
      </w:r>
    </w:p>
    <w:p w:rsidR="004642FD" w:rsidRDefault="00AE60F5" w:rsidP="009C4A2B">
      <w:pPr>
        <w:numPr>
          <w:ilvl w:val="0"/>
          <w:numId w:val="13"/>
        </w:numPr>
        <w:shd w:val="clear" w:color="auto" w:fill="FFFFFF"/>
        <w:spacing w:after="0" w:line="240" w:lineRule="auto"/>
        <w:ind w:left="1080"/>
        <w:textAlignment w:val="baseline"/>
        <w:rPr>
          <w:rFonts w:ascii="Calibri" w:eastAsia="Times New Roman" w:hAnsi="Calibri" w:cs="Times New Roman"/>
          <w:color w:val="333333"/>
          <w:sz w:val="24"/>
          <w:szCs w:val="24"/>
        </w:rPr>
      </w:pPr>
      <w:r w:rsidRPr="00AE60F5">
        <w:rPr>
          <w:rFonts w:ascii="Calibri" w:eastAsia="Times New Roman" w:hAnsi="Calibri" w:cs="Times New Roman"/>
          <w:color w:val="333333"/>
          <w:sz w:val="24"/>
          <w:szCs w:val="24"/>
        </w:rPr>
        <w:t>Expensing, percentage depletion, and capital gains tax breaks for coal</w:t>
      </w:r>
    </w:p>
    <w:p w:rsidR="003D5A57" w:rsidRDefault="003D5A57" w:rsidP="00EC17DE">
      <w:pPr>
        <w:spacing w:after="0" w:line="240" w:lineRule="auto"/>
        <w:ind w:left="720"/>
        <w:contextualSpacing/>
        <w:rPr>
          <w:rFonts w:ascii="Calibri" w:eastAsia="Times New Roman" w:hAnsi="Calibri" w:cs="Times New Roman"/>
          <w:color w:val="333333"/>
          <w:sz w:val="24"/>
          <w:szCs w:val="24"/>
        </w:rPr>
      </w:pPr>
    </w:p>
    <w:p w:rsidR="00B81852" w:rsidRPr="00D814E8" w:rsidRDefault="00B81852" w:rsidP="00D814E8">
      <w:pPr>
        <w:pStyle w:val="ListParagraph"/>
        <w:spacing w:after="0" w:line="240" w:lineRule="auto"/>
        <w:rPr>
          <w:rFonts w:ascii="Calibri" w:eastAsia="Times" w:hAnsi="Calibri" w:cs="Calibri"/>
          <w:b/>
          <w:color w:val="0477AE"/>
          <w:sz w:val="24"/>
          <w:szCs w:val="24"/>
        </w:rPr>
      </w:pPr>
      <w:r w:rsidRPr="00D814E8">
        <w:rPr>
          <w:rFonts w:ascii="Calibri" w:eastAsia="Times" w:hAnsi="Calibri" w:cs="Calibri"/>
          <w:b/>
          <w:color w:val="0477AE"/>
          <w:sz w:val="24"/>
          <w:szCs w:val="24"/>
        </w:rPr>
        <w:t xml:space="preserve">Public </w:t>
      </w:r>
      <w:r w:rsidR="007752B8" w:rsidRPr="00D814E8">
        <w:rPr>
          <w:rFonts w:ascii="Calibri" w:eastAsia="Times" w:hAnsi="Calibri" w:cs="Calibri"/>
          <w:b/>
          <w:color w:val="0477AE"/>
          <w:sz w:val="24"/>
          <w:szCs w:val="24"/>
        </w:rPr>
        <w:t>o</w:t>
      </w:r>
      <w:r w:rsidRPr="00D814E8">
        <w:rPr>
          <w:rFonts w:ascii="Calibri" w:eastAsia="Times" w:hAnsi="Calibri" w:cs="Calibri"/>
          <w:b/>
          <w:color w:val="0477AE"/>
          <w:sz w:val="24"/>
          <w:szCs w:val="24"/>
        </w:rPr>
        <w:t>pinion on this tax reform option</w:t>
      </w:r>
    </w:p>
    <w:p w:rsidR="00A220E7" w:rsidRDefault="00B81852" w:rsidP="00A220E7">
      <w:pPr>
        <w:autoSpaceDE w:val="0"/>
        <w:autoSpaceDN w:val="0"/>
        <w:adjustRightInd w:val="0"/>
        <w:spacing w:after="0" w:line="240" w:lineRule="auto"/>
        <w:ind w:left="720"/>
        <w:rPr>
          <w:rFonts w:eastAsia="Times" w:cs="Calibri"/>
          <w:sz w:val="24"/>
          <w:szCs w:val="24"/>
        </w:rPr>
      </w:pPr>
      <w:r w:rsidRPr="008F789A">
        <w:rPr>
          <w:rFonts w:eastAsia="Times" w:cs="Calibri"/>
          <w:sz w:val="24"/>
          <w:szCs w:val="24"/>
        </w:rPr>
        <w:t xml:space="preserve">By a margin of </w:t>
      </w:r>
      <w:r w:rsidR="004B158A" w:rsidRPr="008F789A">
        <w:rPr>
          <w:rFonts w:eastAsia="Times" w:cs="Calibri"/>
          <w:sz w:val="24"/>
          <w:szCs w:val="24"/>
        </w:rPr>
        <w:t>59</w:t>
      </w:r>
      <w:r w:rsidRPr="008F789A">
        <w:rPr>
          <w:rFonts w:eastAsia="Times" w:cs="Calibri"/>
          <w:sz w:val="24"/>
          <w:szCs w:val="24"/>
        </w:rPr>
        <w:t xml:space="preserve">% to </w:t>
      </w:r>
      <w:r w:rsidR="004B158A" w:rsidRPr="008F789A">
        <w:rPr>
          <w:rFonts w:eastAsia="Times" w:cs="Calibri"/>
          <w:sz w:val="24"/>
          <w:szCs w:val="24"/>
        </w:rPr>
        <w:t>36</w:t>
      </w:r>
      <w:r w:rsidRPr="008F789A">
        <w:rPr>
          <w:rFonts w:eastAsia="Times" w:cs="Calibri"/>
          <w:sz w:val="24"/>
          <w:szCs w:val="24"/>
        </w:rPr>
        <w:t>%, voters want to “</w:t>
      </w:r>
      <w:r w:rsidR="007752B8" w:rsidRPr="008F789A">
        <w:rPr>
          <w:rFonts w:eastAsia="Times" w:cs="Calibri"/>
          <w:sz w:val="24"/>
          <w:szCs w:val="24"/>
        </w:rPr>
        <w:t>E</w:t>
      </w:r>
      <w:r w:rsidR="004B158A" w:rsidRPr="008F789A">
        <w:rPr>
          <w:rFonts w:eastAsia="Times" w:cs="Calibri"/>
          <w:sz w:val="24"/>
          <w:szCs w:val="24"/>
        </w:rPr>
        <w:t>liminate tax breaks for oil companies</w:t>
      </w:r>
      <w:r w:rsidRPr="008F789A">
        <w:rPr>
          <w:rFonts w:eastAsia="Times" w:cs="Calibri"/>
          <w:sz w:val="24"/>
          <w:szCs w:val="24"/>
        </w:rPr>
        <w:t>.”</w:t>
      </w:r>
    </w:p>
    <w:p w:rsidR="00B81852" w:rsidRDefault="0058300F" w:rsidP="00A220E7">
      <w:pPr>
        <w:autoSpaceDE w:val="0"/>
        <w:autoSpaceDN w:val="0"/>
        <w:adjustRightInd w:val="0"/>
        <w:spacing w:after="0" w:line="240" w:lineRule="auto"/>
        <w:ind w:left="720"/>
        <w:rPr>
          <w:rFonts w:cs="Calibri"/>
          <w:sz w:val="24"/>
          <w:szCs w:val="24"/>
        </w:rPr>
      </w:pPr>
      <w:hyperlink r:id="rId15" w:history="1">
        <w:r w:rsidR="00A220E7" w:rsidRPr="00A220E7">
          <w:rPr>
            <w:rStyle w:val="Hyperlink"/>
            <w:rFonts w:cs="Calibri"/>
            <w:sz w:val="24"/>
            <w:szCs w:val="24"/>
          </w:rPr>
          <w:t>Hart Research Associates Poll</w:t>
        </w:r>
      </w:hyperlink>
      <w:r w:rsidR="00A220E7" w:rsidRPr="00B6104F">
        <w:rPr>
          <w:rFonts w:cs="Calibri"/>
          <w:sz w:val="24"/>
          <w:szCs w:val="24"/>
        </w:rPr>
        <w:t xml:space="preserve">, Jan. 18-22, 2013, </w:t>
      </w:r>
      <w:r w:rsidR="00A220E7">
        <w:rPr>
          <w:rFonts w:cs="Calibri"/>
          <w:sz w:val="24"/>
          <w:szCs w:val="24"/>
        </w:rPr>
        <w:t xml:space="preserve">Q. </w:t>
      </w:r>
      <w:r w:rsidR="00A220E7" w:rsidRPr="00B6104F">
        <w:rPr>
          <w:rFonts w:cs="Calibri"/>
          <w:sz w:val="24"/>
          <w:szCs w:val="24"/>
        </w:rPr>
        <w:t>12</w:t>
      </w:r>
    </w:p>
    <w:p w:rsidR="00A220E7" w:rsidRPr="00A220E7" w:rsidRDefault="00A220E7" w:rsidP="00A220E7">
      <w:pPr>
        <w:autoSpaceDE w:val="0"/>
        <w:autoSpaceDN w:val="0"/>
        <w:adjustRightInd w:val="0"/>
        <w:spacing w:after="0" w:line="240" w:lineRule="auto"/>
        <w:ind w:left="720"/>
        <w:rPr>
          <w:rFonts w:eastAsia="Times" w:cs="Calibri"/>
          <w:sz w:val="24"/>
          <w:szCs w:val="24"/>
        </w:rPr>
      </w:pPr>
    </w:p>
    <w:p w:rsidR="00626326" w:rsidRPr="00C66723" w:rsidRDefault="009C687E"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End </w:t>
      </w:r>
      <w:r w:rsidR="007752B8" w:rsidRPr="00C66723">
        <w:rPr>
          <w:rFonts w:ascii="Calibri" w:eastAsia="Times" w:hAnsi="Calibri" w:cs="Calibri"/>
          <w:b/>
          <w:color w:val="0477AE"/>
          <w:sz w:val="24"/>
          <w:szCs w:val="24"/>
        </w:rPr>
        <w:t>S</w:t>
      </w:r>
      <w:r w:rsidR="00751A78" w:rsidRPr="00C66723">
        <w:rPr>
          <w:rFonts w:ascii="Calibri" w:eastAsia="Times" w:hAnsi="Calibri" w:cs="Calibri"/>
          <w:b/>
          <w:color w:val="0477AE"/>
          <w:sz w:val="24"/>
          <w:szCs w:val="24"/>
        </w:rPr>
        <w:t xml:space="preserve">tock </w:t>
      </w:r>
      <w:r w:rsidR="007752B8" w:rsidRPr="00C66723">
        <w:rPr>
          <w:rFonts w:ascii="Calibri" w:eastAsia="Times" w:hAnsi="Calibri" w:cs="Calibri"/>
          <w:b/>
          <w:color w:val="0477AE"/>
          <w:sz w:val="24"/>
          <w:szCs w:val="24"/>
        </w:rPr>
        <w:t>O</w:t>
      </w:r>
      <w:r w:rsidR="00751A78" w:rsidRPr="00C66723">
        <w:rPr>
          <w:rFonts w:ascii="Calibri" w:eastAsia="Times" w:hAnsi="Calibri" w:cs="Calibri"/>
          <w:b/>
          <w:color w:val="0477AE"/>
          <w:sz w:val="24"/>
          <w:szCs w:val="24"/>
        </w:rPr>
        <w:t xml:space="preserve">ption </w:t>
      </w:r>
      <w:r w:rsidR="007752B8" w:rsidRPr="00C66723">
        <w:rPr>
          <w:rFonts w:ascii="Calibri" w:eastAsia="Times" w:hAnsi="Calibri" w:cs="Calibri"/>
          <w:b/>
          <w:color w:val="0477AE"/>
          <w:sz w:val="24"/>
          <w:szCs w:val="24"/>
        </w:rPr>
        <w:t>L</w:t>
      </w:r>
      <w:r w:rsidR="00751A78" w:rsidRPr="00C66723">
        <w:rPr>
          <w:rFonts w:ascii="Calibri" w:eastAsia="Times" w:hAnsi="Calibri" w:cs="Calibri"/>
          <w:b/>
          <w:color w:val="0477AE"/>
          <w:sz w:val="24"/>
          <w:szCs w:val="24"/>
        </w:rPr>
        <w:t>oopholes</w:t>
      </w:r>
      <w:r w:rsidRPr="00C66723">
        <w:rPr>
          <w:rFonts w:ascii="Calibri" w:eastAsia="Times" w:hAnsi="Calibri" w:cs="Calibri"/>
          <w:b/>
          <w:color w:val="0477AE"/>
          <w:sz w:val="24"/>
          <w:szCs w:val="24"/>
        </w:rPr>
        <w:t xml:space="preserve"> </w:t>
      </w:r>
    </w:p>
    <w:p w:rsidR="009C687E" w:rsidRPr="00C66723" w:rsidRDefault="00626326"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Revenue: </w:t>
      </w:r>
      <w:r w:rsidR="009C687E" w:rsidRPr="00C66723">
        <w:rPr>
          <w:rFonts w:ascii="Calibri" w:eastAsia="Times" w:hAnsi="Calibri" w:cs="Calibri"/>
          <w:b/>
          <w:color w:val="0477AE"/>
          <w:sz w:val="24"/>
          <w:szCs w:val="24"/>
        </w:rPr>
        <w:t>$25 billion</w:t>
      </w:r>
      <w:r w:rsidRPr="00C66723">
        <w:rPr>
          <w:rFonts w:ascii="Calibri" w:eastAsia="Times" w:hAnsi="Calibri" w:cs="Calibri"/>
          <w:b/>
          <w:color w:val="0477AE"/>
          <w:sz w:val="24"/>
          <w:szCs w:val="24"/>
        </w:rPr>
        <w:t xml:space="preserve"> over 10 years; </w:t>
      </w:r>
      <w:r w:rsidR="00A13E7C" w:rsidRPr="00C66723">
        <w:rPr>
          <w:rFonts w:ascii="Calibri" w:eastAsia="Times" w:hAnsi="Calibri" w:cs="Calibri"/>
          <w:b/>
          <w:color w:val="0477AE"/>
          <w:sz w:val="24"/>
          <w:szCs w:val="24"/>
        </w:rPr>
        <w:t xml:space="preserve">Joint Committee on Taxation </w:t>
      </w:r>
    </w:p>
    <w:p w:rsidR="00BF19D7" w:rsidRDefault="00BF19D7" w:rsidP="00EC17DE">
      <w:pPr>
        <w:spacing w:after="0" w:line="240" w:lineRule="auto"/>
        <w:ind w:left="720"/>
        <w:contextualSpacing/>
        <w:rPr>
          <w:sz w:val="24"/>
          <w:szCs w:val="24"/>
        </w:rPr>
      </w:pPr>
    </w:p>
    <w:p w:rsidR="00BF19D7" w:rsidRDefault="00BF19D7" w:rsidP="00EC17DE">
      <w:pPr>
        <w:spacing w:after="0" w:line="240" w:lineRule="auto"/>
        <w:ind w:left="720"/>
        <w:contextualSpacing/>
        <w:rPr>
          <w:sz w:val="24"/>
          <w:szCs w:val="24"/>
        </w:rPr>
      </w:pPr>
      <w:r>
        <w:rPr>
          <w:sz w:val="24"/>
          <w:szCs w:val="24"/>
        </w:rPr>
        <w:t xml:space="preserve">Under present law, corporations can claim tax deductions for executive stock options that exceed the expense that they report to their shareholders </w:t>
      </w:r>
      <w:r w:rsidR="00751A78">
        <w:rPr>
          <w:sz w:val="24"/>
          <w:szCs w:val="24"/>
        </w:rPr>
        <w:t>for issuing</w:t>
      </w:r>
      <w:r>
        <w:rPr>
          <w:sz w:val="24"/>
          <w:szCs w:val="24"/>
        </w:rPr>
        <w:t xml:space="preserve"> the same options. </w:t>
      </w:r>
      <w:r w:rsidR="00751A78">
        <w:rPr>
          <w:sz w:val="24"/>
          <w:szCs w:val="24"/>
        </w:rPr>
        <w:t>F</w:t>
      </w:r>
      <w:r>
        <w:rPr>
          <w:sz w:val="24"/>
          <w:szCs w:val="24"/>
        </w:rPr>
        <w:t>inancial reporting rules</w:t>
      </w:r>
      <w:r w:rsidR="00751A78">
        <w:rPr>
          <w:sz w:val="24"/>
          <w:szCs w:val="24"/>
        </w:rPr>
        <w:t xml:space="preserve"> require</w:t>
      </w:r>
      <w:r>
        <w:rPr>
          <w:sz w:val="24"/>
          <w:szCs w:val="24"/>
        </w:rPr>
        <w:t xml:space="preserve"> corporations </w:t>
      </w:r>
      <w:r w:rsidR="00751A78">
        <w:rPr>
          <w:sz w:val="24"/>
          <w:szCs w:val="24"/>
        </w:rPr>
        <w:t xml:space="preserve">to </w:t>
      </w:r>
      <w:r>
        <w:rPr>
          <w:sz w:val="24"/>
          <w:szCs w:val="24"/>
        </w:rPr>
        <w:t xml:space="preserve">report an expense for stock options at the time they are granted to executives, based on an </w:t>
      </w:r>
      <w:r w:rsidR="00751A78">
        <w:rPr>
          <w:sz w:val="24"/>
          <w:szCs w:val="24"/>
        </w:rPr>
        <w:t>estimated value of the option. Yet t</w:t>
      </w:r>
      <w:r>
        <w:rPr>
          <w:sz w:val="24"/>
          <w:szCs w:val="24"/>
        </w:rPr>
        <w:t>ax rules allow them to deduct the value of the options when they are exercised – which is typically much higher than the value they ascribe for “book” purposes.</w:t>
      </w:r>
      <w:r w:rsidR="00751A78">
        <w:rPr>
          <w:sz w:val="24"/>
          <w:szCs w:val="24"/>
        </w:rPr>
        <w:t xml:space="preserve"> In other words, corporations</w:t>
      </w:r>
      <w:r>
        <w:rPr>
          <w:sz w:val="24"/>
          <w:szCs w:val="24"/>
        </w:rPr>
        <w:t xml:space="preserve"> are allowed to tell shareholders one thing about how options affect their profits, and tell the IRS something else.</w:t>
      </w:r>
      <w:r>
        <w:rPr>
          <w:rStyle w:val="EndnoteReference"/>
          <w:sz w:val="24"/>
          <w:szCs w:val="24"/>
        </w:rPr>
        <w:endnoteReference w:id="16"/>
      </w:r>
      <w:r w:rsidR="00751A78">
        <w:rPr>
          <w:sz w:val="24"/>
          <w:szCs w:val="24"/>
        </w:rPr>
        <w:t xml:space="preserve"> Stock options are also excluded from the existing rule that limits corporate deductions for executive pay to $1 million per year.</w:t>
      </w:r>
    </w:p>
    <w:p w:rsidR="00751A78" w:rsidRDefault="00751A78" w:rsidP="00EC17DE">
      <w:pPr>
        <w:spacing w:after="0" w:line="240" w:lineRule="auto"/>
        <w:ind w:left="720"/>
        <w:contextualSpacing/>
        <w:rPr>
          <w:sz w:val="24"/>
          <w:szCs w:val="24"/>
        </w:rPr>
      </w:pPr>
    </w:p>
    <w:p w:rsidR="00751A78" w:rsidRDefault="00751A78" w:rsidP="00EC17DE">
      <w:pPr>
        <w:spacing w:after="0" w:line="240" w:lineRule="auto"/>
        <w:ind w:left="720"/>
        <w:contextualSpacing/>
        <w:rPr>
          <w:sz w:val="24"/>
          <w:szCs w:val="24"/>
        </w:rPr>
      </w:pPr>
      <w:r>
        <w:rPr>
          <w:sz w:val="24"/>
          <w:szCs w:val="24"/>
        </w:rPr>
        <w:t>Legislation introduced by Sen. Carl Levin (D-MI)</w:t>
      </w:r>
      <w:r w:rsidR="003867AC">
        <w:rPr>
          <w:sz w:val="24"/>
          <w:szCs w:val="24"/>
        </w:rPr>
        <w:t>, S. 268,</w:t>
      </w:r>
      <w:r>
        <w:rPr>
          <w:sz w:val="24"/>
          <w:szCs w:val="24"/>
        </w:rPr>
        <w:t xml:space="preserve"> would prevent companies from claiming tax deductions for stock options that exceed the expense reported to </w:t>
      </w:r>
      <w:r>
        <w:rPr>
          <w:sz w:val="24"/>
          <w:szCs w:val="24"/>
        </w:rPr>
        <w:lastRenderedPageBreak/>
        <w:t xml:space="preserve">shareholders, while also subjecting stock options for top executives to the $1 million limit.  It is estimated to raise $25 billion over </w:t>
      </w:r>
      <w:r w:rsidR="001D6A78">
        <w:rPr>
          <w:sz w:val="24"/>
          <w:szCs w:val="24"/>
        </w:rPr>
        <w:t xml:space="preserve">10 </w:t>
      </w:r>
      <w:r>
        <w:rPr>
          <w:sz w:val="24"/>
          <w:szCs w:val="24"/>
        </w:rPr>
        <w:t>years.</w:t>
      </w:r>
      <w:r>
        <w:rPr>
          <w:rStyle w:val="EndnoteReference"/>
          <w:sz w:val="24"/>
          <w:szCs w:val="24"/>
        </w:rPr>
        <w:endnoteReference w:id="17"/>
      </w:r>
    </w:p>
    <w:p w:rsidR="00B729DC" w:rsidRDefault="00B729DC" w:rsidP="00EC17DE">
      <w:pPr>
        <w:spacing w:after="0" w:line="240" w:lineRule="auto"/>
        <w:ind w:left="720"/>
        <w:contextualSpacing/>
        <w:rPr>
          <w:sz w:val="24"/>
          <w:szCs w:val="24"/>
        </w:rPr>
      </w:pPr>
    </w:p>
    <w:p w:rsidR="00931E36" w:rsidRPr="00D814E8" w:rsidRDefault="00931E36" w:rsidP="00D814E8">
      <w:pPr>
        <w:pStyle w:val="ListParagraph"/>
        <w:spacing w:after="0" w:line="240" w:lineRule="auto"/>
        <w:rPr>
          <w:rFonts w:ascii="Calibri" w:eastAsia="Times" w:hAnsi="Calibri" w:cs="Calibri"/>
          <w:b/>
          <w:color w:val="0477AE"/>
          <w:sz w:val="24"/>
          <w:szCs w:val="24"/>
        </w:rPr>
      </w:pPr>
      <w:r w:rsidRPr="00D814E8">
        <w:rPr>
          <w:rFonts w:ascii="Calibri" w:eastAsia="Times" w:hAnsi="Calibri" w:cs="Calibri"/>
          <w:b/>
          <w:color w:val="0477AE"/>
          <w:sz w:val="24"/>
          <w:szCs w:val="24"/>
        </w:rPr>
        <w:t xml:space="preserve">Public </w:t>
      </w:r>
      <w:r w:rsidR="00A13E7C" w:rsidRPr="00D814E8">
        <w:rPr>
          <w:rFonts w:ascii="Calibri" w:eastAsia="Times" w:hAnsi="Calibri" w:cs="Calibri"/>
          <w:b/>
          <w:color w:val="0477AE"/>
          <w:sz w:val="24"/>
          <w:szCs w:val="24"/>
        </w:rPr>
        <w:t>o</w:t>
      </w:r>
      <w:r w:rsidRPr="00D814E8">
        <w:rPr>
          <w:rFonts w:ascii="Calibri" w:eastAsia="Times" w:hAnsi="Calibri" w:cs="Calibri"/>
          <w:b/>
          <w:color w:val="0477AE"/>
          <w:sz w:val="24"/>
          <w:szCs w:val="24"/>
        </w:rPr>
        <w:t>pinion on this tax reform option</w:t>
      </w:r>
    </w:p>
    <w:p w:rsidR="00F566B1" w:rsidRPr="00935C27" w:rsidRDefault="00931E36" w:rsidP="00F533FC">
      <w:pPr>
        <w:autoSpaceDE w:val="0"/>
        <w:autoSpaceDN w:val="0"/>
        <w:adjustRightInd w:val="0"/>
        <w:spacing w:after="0" w:line="240" w:lineRule="auto"/>
        <w:ind w:left="720"/>
      </w:pPr>
      <w:r w:rsidRPr="008F789A">
        <w:rPr>
          <w:rFonts w:eastAsia="Times" w:cs="Calibri"/>
          <w:sz w:val="24"/>
          <w:szCs w:val="24"/>
        </w:rPr>
        <w:t xml:space="preserve">By a margin of </w:t>
      </w:r>
      <w:r w:rsidR="00F566B1" w:rsidRPr="008F789A">
        <w:rPr>
          <w:rFonts w:eastAsia="Times" w:cs="Calibri"/>
          <w:sz w:val="24"/>
          <w:szCs w:val="24"/>
        </w:rPr>
        <w:t>63</w:t>
      </w:r>
      <w:r w:rsidRPr="008F789A">
        <w:rPr>
          <w:rFonts w:eastAsia="Times" w:cs="Calibri"/>
          <w:sz w:val="24"/>
          <w:szCs w:val="24"/>
        </w:rPr>
        <w:t>% to 3</w:t>
      </w:r>
      <w:r w:rsidR="00F566B1" w:rsidRPr="008F789A">
        <w:rPr>
          <w:rFonts w:eastAsia="Times" w:cs="Calibri"/>
          <w:sz w:val="24"/>
          <w:szCs w:val="24"/>
        </w:rPr>
        <w:t>4</w:t>
      </w:r>
      <w:r w:rsidRPr="008F789A">
        <w:rPr>
          <w:rFonts w:eastAsia="Times" w:cs="Calibri"/>
          <w:sz w:val="24"/>
          <w:szCs w:val="24"/>
        </w:rPr>
        <w:t xml:space="preserve">%, </w:t>
      </w:r>
      <w:r w:rsidRPr="00935C27">
        <w:t>voters want to “</w:t>
      </w:r>
      <w:r w:rsidR="00F566B1" w:rsidRPr="00935C27">
        <w:t>Prevent corporations from avoiding taxes</w:t>
      </w:r>
    </w:p>
    <w:p w:rsidR="00F566B1" w:rsidRPr="00B6104F" w:rsidRDefault="00F566B1" w:rsidP="00EC17DE">
      <w:pPr>
        <w:autoSpaceDE w:val="0"/>
        <w:autoSpaceDN w:val="0"/>
        <w:adjustRightInd w:val="0"/>
        <w:spacing w:after="0" w:line="240" w:lineRule="auto"/>
        <w:ind w:left="720"/>
        <w:rPr>
          <w:rFonts w:eastAsia="Times" w:cs="Calibri"/>
          <w:sz w:val="24"/>
          <w:szCs w:val="24"/>
        </w:rPr>
      </w:pPr>
      <w:proofErr w:type="gramStart"/>
      <w:r w:rsidRPr="00512B80">
        <w:rPr>
          <w:rFonts w:eastAsia="Times" w:cs="Calibri"/>
          <w:sz w:val="24"/>
          <w:szCs w:val="24"/>
        </w:rPr>
        <w:t>when</w:t>
      </w:r>
      <w:proofErr w:type="gramEnd"/>
      <w:r w:rsidRPr="00512B80">
        <w:rPr>
          <w:rFonts w:eastAsia="Times" w:cs="Calibri"/>
          <w:sz w:val="24"/>
          <w:szCs w:val="24"/>
        </w:rPr>
        <w:t xml:space="preserve"> they award their executives millions of dollars in stock options.”</w:t>
      </w:r>
      <w:r w:rsidR="00771C10">
        <w:rPr>
          <w:rFonts w:eastAsia="Times" w:cs="Calibri"/>
          <w:sz w:val="24"/>
          <w:szCs w:val="24"/>
        </w:rPr>
        <w:t xml:space="preserve"> </w:t>
      </w:r>
    </w:p>
    <w:p w:rsidR="00C250AC" w:rsidRDefault="00C250AC" w:rsidP="00C250AC">
      <w:pPr>
        <w:pStyle w:val="ListParagraph"/>
        <w:autoSpaceDE w:val="0"/>
        <w:autoSpaceDN w:val="0"/>
        <w:adjustRightInd w:val="0"/>
        <w:spacing w:after="0" w:line="240" w:lineRule="auto"/>
        <w:ind w:left="360"/>
        <w:rPr>
          <w:rFonts w:cs="Calibri"/>
          <w:sz w:val="24"/>
          <w:szCs w:val="24"/>
        </w:rPr>
      </w:pPr>
      <w:r>
        <w:rPr>
          <w:rFonts w:cs="Calibri"/>
          <w:sz w:val="24"/>
          <w:szCs w:val="24"/>
        </w:rPr>
        <w:tab/>
      </w:r>
      <w:hyperlink r:id="rId16" w:history="1">
        <w:r w:rsidRPr="00C250AC">
          <w:rPr>
            <w:rStyle w:val="Hyperlink"/>
            <w:rFonts w:cs="Calibri"/>
            <w:sz w:val="24"/>
            <w:szCs w:val="24"/>
          </w:rPr>
          <w:t>Hart Research Associates Poll</w:t>
        </w:r>
      </w:hyperlink>
      <w:r w:rsidRPr="00C250AC">
        <w:rPr>
          <w:rFonts w:cs="Calibri"/>
          <w:sz w:val="24"/>
          <w:szCs w:val="24"/>
        </w:rPr>
        <w:t>, Jan. 18-22, 2013, Q. 12</w:t>
      </w:r>
    </w:p>
    <w:p w:rsidR="003867AC" w:rsidRPr="00C250AC" w:rsidRDefault="003867AC" w:rsidP="00C250AC">
      <w:pPr>
        <w:pStyle w:val="ListParagraph"/>
        <w:autoSpaceDE w:val="0"/>
        <w:autoSpaceDN w:val="0"/>
        <w:adjustRightInd w:val="0"/>
        <w:spacing w:after="0" w:line="240" w:lineRule="auto"/>
        <w:ind w:left="360"/>
        <w:rPr>
          <w:rFonts w:cs="Calibri"/>
          <w:sz w:val="24"/>
          <w:szCs w:val="24"/>
        </w:rPr>
      </w:pPr>
    </w:p>
    <w:p w:rsidR="00811370" w:rsidRPr="00C66723" w:rsidRDefault="00811370"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Cap the Tax Deductibility of Executive Compensation </w:t>
      </w:r>
    </w:p>
    <w:p w:rsidR="00D30FB5" w:rsidRPr="00C66723" w:rsidRDefault="00D30FB5"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Revenue: $42 billion over 10 years; Economic Policy Institute</w:t>
      </w:r>
    </w:p>
    <w:p w:rsidR="00D30FB5" w:rsidRPr="00562D68" w:rsidRDefault="00D30FB5" w:rsidP="00D30FB5">
      <w:pPr>
        <w:spacing w:after="0" w:line="240" w:lineRule="auto"/>
        <w:rPr>
          <w:rFonts w:ascii="Calibri" w:hAnsi="Calibri" w:cs="Arial"/>
          <w:sz w:val="24"/>
          <w:szCs w:val="24"/>
        </w:rPr>
      </w:pPr>
    </w:p>
    <w:p w:rsidR="00D30FB5" w:rsidRPr="00562D68" w:rsidRDefault="00D30FB5" w:rsidP="00D30FB5">
      <w:pPr>
        <w:spacing w:after="0" w:line="240" w:lineRule="auto"/>
        <w:ind w:left="720"/>
        <w:rPr>
          <w:rFonts w:ascii="Calibri" w:hAnsi="Calibri" w:cs="Arial"/>
          <w:sz w:val="24"/>
          <w:szCs w:val="24"/>
        </w:rPr>
      </w:pPr>
      <w:r w:rsidRPr="00562D68">
        <w:rPr>
          <w:rFonts w:ascii="Calibri" w:hAnsi="Calibri" w:cs="Arial"/>
          <w:sz w:val="24"/>
          <w:szCs w:val="24"/>
        </w:rPr>
        <w:t xml:space="preserve">Currently, there is no meaningful limit on how much corporations can deduct from their income taxes for the expense of executive compensation.  The more they pay their CEO, the less they pay in taxes. As a result, ordinary taxpayers wind up subsidizing excessive executive pay. </w:t>
      </w:r>
    </w:p>
    <w:p w:rsidR="00D30FB5" w:rsidRPr="00562D68" w:rsidRDefault="00D30FB5" w:rsidP="00D30FB5">
      <w:pPr>
        <w:spacing w:after="0" w:line="240" w:lineRule="auto"/>
        <w:ind w:left="720"/>
        <w:rPr>
          <w:rFonts w:ascii="Calibri" w:hAnsi="Calibri" w:cs="Arial"/>
          <w:sz w:val="24"/>
          <w:szCs w:val="24"/>
        </w:rPr>
      </w:pPr>
    </w:p>
    <w:p w:rsidR="00D30FB5" w:rsidRPr="00562D68" w:rsidRDefault="00D30FB5" w:rsidP="00D30FB5">
      <w:pPr>
        <w:spacing w:after="0" w:line="240" w:lineRule="auto"/>
        <w:ind w:left="720"/>
        <w:rPr>
          <w:rFonts w:ascii="Calibri" w:hAnsi="Calibri" w:cs="Arial"/>
          <w:sz w:val="24"/>
          <w:szCs w:val="24"/>
        </w:rPr>
      </w:pPr>
      <w:r w:rsidRPr="00562D68">
        <w:rPr>
          <w:rFonts w:ascii="Calibri" w:hAnsi="Calibri" w:cs="Arial"/>
          <w:sz w:val="24"/>
          <w:szCs w:val="24"/>
        </w:rPr>
        <w:t xml:space="preserve">A Clinton-era reform capped the tax deductibility of executive compensation at $1 million, but with a huge loophole: the cap doesn’t apply to “performance-based” pay. This led to the increased use of stock option-based compensation that greatly expanded CEO paychecks. </w:t>
      </w:r>
    </w:p>
    <w:p w:rsidR="009B4C4A" w:rsidRDefault="009B4C4A" w:rsidP="00D30FB5">
      <w:pPr>
        <w:spacing w:after="0" w:line="240" w:lineRule="auto"/>
        <w:ind w:left="720"/>
        <w:rPr>
          <w:rFonts w:ascii="Calibri" w:hAnsi="Calibri" w:cs="Arial"/>
          <w:sz w:val="24"/>
          <w:szCs w:val="24"/>
        </w:rPr>
      </w:pPr>
    </w:p>
    <w:p w:rsidR="00D30FB5" w:rsidRPr="00562D68" w:rsidRDefault="00D30FB5" w:rsidP="00D30FB5">
      <w:pPr>
        <w:spacing w:after="0" w:line="240" w:lineRule="auto"/>
        <w:ind w:left="720"/>
        <w:rPr>
          <w:rFonts w:ascii="Calibri" w:hAnsi="Calibri" w:cs="Arial"/>
          <w:sz w:val="24"/>
          <w:szCs w:val="24"/>
        </w:rPr>
      </w:pPr>
      <w:r w:rsidRPr="00562D68">
        <w:rPr>
          <w:rFonts w:ascii="Calibri" w:hAnsi="Calibri" w:cs="Arial"/>
          <w:sz w:val="24"/>
          <w:szCs w:val="24"/>
        </w:rPr>
        <w:t>Executive compensation experts found that pay arrangements that rely heavily on “performance pay” are leading managers to focus excessively on the short term, motivating them to boost short-term results at the expense of long-term value.</w:t>
      </w:r>
      <w:r w:rsidRPr="00562D68">
        <w:rPr>
          <w:rStyle w:val="EndnoteReference"/>
          <w:rFonts w:ascii="Calibri" w:hAnsi="Calibri" w:cs="Arial"/>
          <w:sz w:val="24"/>
          <w:szCs w:val="24"/>
        </w:rPr>
        <w:endnoteReference w:id="18"/>
      </w:r>
      <w:r w:rsidRPr="00562D68">
        <w:rPr>
          <w:rFonts w:ascii="Calibri" w:hAnsi="Calibri" w:cs="Arial"/>
          <w:sz w:val="24"/>
          <w:szCs w:val="24"/>
        </w:rPr>
        <w:t xml:space="preserve">  One study found that executive influence over their own pay has led to compensation schemes that weaken managers’ incentives to increase firm value and even create incentives to take actions that </w:t>
      </w:r>
      <w:r w:rsidRPr="00562D68">
        <w:rPr>
          <w:rFonts w:ascii="Calibri" w:hAnsi="Calibri" w:cs="Arial"/>
          <w:i/>
          <w:iCs/>
          <w:sz w:val="24"/>
          <w:szCs w:val="24"/>
        </w:rPr>
        <w:t xml:space="preserve">reduce </w:t>
      </w:r>
      <w:r w:rsidRPr="00562D68">
        <w:rPr>
          <w:rFonts w:ascii="Calibri" w:hAnsi="Calibri" w:cs="Arial"/>
          <w:sz w:val="24"/>
          <w:szCs w:val="24"/>
        </w:rPr>
        <w:t>long-term firm value.</w:t>
      </w:r>
    </w:p>
    <w:p w:rsidR="00D30FB5" w:rsidRPr="00562D68" w:rsidRDefault="00D30FB5" w:rsidP="00D30FB5">
      <w:pPr>
        <w:spacing w:after="0" w:line="240" w:lineRule="auto"/>
        <w:ind w:left="720"/>
        <w:rPr>
          <w:rFonts w:ascii="Calibri" w:hAnsi="Calibri" w:cs="Arial"/>
          <w:sz w:val="24"/>
          <w:szCs w:val="24"/>
        </w:rPr>
      </w:pPr>
    </w:p>
    <w:p w:rsidR="00D30FB5" w:rsidRPr="00562D68" w:rsidRDefault="00D30FB5" w:rsidP="00D30FB5">
      <w:pPr>
        <w:spacing w:after="0" w:line="240" w:lineRule="auto"/>
        <w:ind w:left="720"/>
        <w:rPr>
          <w:rFonts w:ascii="Calibri" w:hAnsi="Calibri" w:cs="Arial"/>
          <w:sz w:val="24"/>
          <w:szCs w:val="24"/>
        </w:rPr>
      </w:pPr>
      <w:r w:rsidRPr="00562D68">
        <w:rPr>
          <w:rFonts w:ascii="Calibri" w:hAnsi="Calibri" w:cs="Arial"/>
          <w:sz w:val="24"/>
          <w:szCs w:val="24"/>
        </w:rPr>
        <w:t>The Troubled Asset Relief Program (TARP) legislation and the Affordable Care Act both have provisions that closed the loophole and lowered the cap to $500,000 for executives of bailout recipients and health insurance companies.  The Income Equity Act of 2013 (</w:t>
      </w:r>
      <w:r w:rsidRPr="00562D68">
        <w:rPr>
          <w:rFonts w:ascii="Calibri" w:hAnsi="Calibri" w:cs="Arial"/>
          <w:bCs/>
          <w:sz w:val="24"/>
          <w:szCs w:val="24"/>
        </w:rPr>
        <w:t>H.R.</w:t>
      </w:r>
      <w:r w:rsidR="003867AC">
        <w:rPr>
          <w:rFonts w:ascii="Calibri" w:hAnsi="Calibri" w:cs="Arial"/>
          <w:bCs/>
          <w:sz w:val="24"/>
          <w:szCs w:val="24"/>
        </w:rPr>
        <w:t xml:space="preserve"> </w:t>
      </w:r>
      <w:r w:rsidRPr="00562D68">
        <w:rPr>
          <w:rFonts w:ascii="Calibri" w:hAnsi="Calibri" w:cs="Arial"/>
          <w:bCs/>
          <w:sz w:val="24"/>
          <w:szCs w:val="24"/>
        </w:rPr>
        <w:t xml:space="preserve">199) would close the loophole for performance-based pay and extend the TARP/ACA cap on deductibility of executive compensation to all firms.  This approach is estimated to generate </w:t>
      </w:r>
      <w:r w:rsidR="005A17C8">
        <w:rPr>
          <w:rFonts w:ascii="Calibri" w:hAnsi="Calibri" w:cs="Arial"/>
          <w:bCs/>
          <w:sz w:val="24"/>
          <w:szCs w:val="24"/>
        </w:rPr>
        <w:t xml:space="preserve">nearly </w:t>
      </w:r>
      <w:r w:rsidRPr="00562D68">
        <w:rPr>
          <w:rFonts w:ascii="Calibri" w:hAnsi="Calibri" w:cs="Arial"/>
          <w:bCs/>
          <w:sz w:val="24"/>
          <w:szCs w:val="24"/>
        </w:rPr>
        <w:t>$4.2 billion in</w:t>
      </w:r>
      <w:r w:rsidRPr="00562D68">
        <w:rPr>
          <w:rFonts w:ascii="Calibri" w:hAnsi="Calibri" w:cs="Arial"/>
          <w:sz w:val="24"/>
          <w:szCs w:val="24"/>
        </w:rPr>
        <w:t xml:space="preserve"> </w:t>
      </w:r>
      <w:r>
        <w:rPr>
          <w:rFonts w:ascii="Calibri" w:hAnsi="Calibri" w:cs="Arial"/>
          <w:sz w:val="24"/>
          <w:szCs w:val="24"/>
        </w:rPr>
        <w:t xml:space="preserve">revenues </w:t>
      </w:r>
      <w:r w:rsidRPr="00562D68">
        <w:rPr>
          <w:rFonts w:ascii="Calibri" w:hAnsi="Calibri" w:cs="Arial"/>
          <w:sz w:val="24"/>
          <w:szCs w:val="24"/>
        </w:rPr>
        <w:t>annually, or roughly $42 billion over 10 years.</w:t>
      </w:r>
      <w:r w:rsidRPr="00562D68">
        <w:rPr>
          <w:rStyle w:val="EndnoteReference"/>
          <w:rFonts w:ascii="Calibri" w:hAnsi="Calibri" w:cs="Arial"/>
          <w:sz w:val="24"/>
          <w:szCs w:val="24"/>
        </w:rPr>
        <w:endnoteReference w:id="19"/>
      </w:r>
      <w:r w:rsidRPr="00562D68">
        <w:rPr>
          <w:rFonts w:ascii="Calibri" w:hAnsi="Calibri" w:cs="Arial"/>
          <w:sz w:val="24"/>
          <w:szCs w:val="24"/>
        </w:rPr>
        <w:t xml:space="preserve"> </w:t>
      </w:r>
    </w:p>
    <w:p w:rsidR="00811370" w:rsidRPr="00811370" w:rsidRDefault="00811370" w:rsidP="00811370">
      <w:pPr>
        <w:spacing w:after="0" w:line="240" w:lineRule="auto"/>
        <w:ind w:left="720"/>
        <w:contextualSpacing/>
        <w:rPr>
          <w:sz w:val="24"/>
          <w:szCs w:val="24"/>
        </w:rPr>
      </w:pPr>
    </w:p>
    <w:p w:rsidR="00811370" w:rsidRPr="00764310" w:rsidRDefault="00811370" w:rsidP="00811370">
      <w:pPr>
        <w:spacing w:after="0" w:line="240" w:lineRule="auto"/>
        <w:ind w:left="720"/>
        <w:contextualSpacing/>
        <w:rPr>
          <w:sz w:val="24"/>
          <w:szCs w:val="24"/>
        </w:rPr>
      </w:pPr>
    </w:p>
    <w:p w:rsidR="00001F98" w:rsidRPr="00C66723" w:rsidRDefault="00E33A8C" w:rsidP="00EC17DE">
      <w:pPr>
        <w:pStyle w:val="ListParagraph"/>
        <w:numPr>
          <w:ilvl w:val="0"/>
          <w:numId w:val="20"/>
        </w:numPr>
        <w:spacing w:after="0" w:line="240" w:lineRule="auto"/>
        <w:ind w:left="360" w:hanging="360"/>
        <w:rPr>
          <w:rFonts w:ascii="Calibri" w:eastAsia="Times" w:hAnsi="Calibri" w:cs="Calibri"/>
          <w:b/>
          <w:color w:val="0477AE"/>
          <w:sz w:val="28"/>
          <w:szCs w:val="28"/>
        </w:rPr>
      </w:pPr>
      <w:r w:rsidRPr="00C66723">
        <w:rPr>
          <w:rFonts w:ascii="Calibri" w:eastAsia="Times" w:hAnsi="Calibri" w:cs="Calibri"/>
          <w:b/>
          <w:color w:val="0477AE"/>
          <w:sz w:val="28"/>
          <w:szCs w:val="28"/>
        </w:rPr>
        <w:t xml:space="preserve">Place </w:t>
      </w:r>
      <w:r w:rsidR="00001F98" w:rsidRPr="00C66723">
        <w:rPr>
          <w:rFonts w:ascii="Calibri" w:eastAsia="Times" w:hAnsi="Calibri" w:cs="Calibri"/>
          <w:b/>
          <w:color w:val="0477AE"/>
          <w:sz w:val="28"/>
          <w:szCs w:val="28"/>
        </w:rPr>
        <w:t xml:space="preserve">a </w:t>
      </w:r>
      <w:r w:rsidR="00A13E7C" w:rsidRPr="00C66723">
        <w:rPr>
          <w:rFonts w:ascii="Calibri" w:eastAsia="Times" w:hAnsi="Calibri" w:cs="Calibri"/>
          <w:b/>
          <w:color w:val="0477AE"/>
          <w:sz w:val="28"/>
          <w:szCs w:val="28"/>
        </w:rPr>
        <w:t>S</w:t>
      </w:r>
      <w:r w:rsidR="00001F98" w:rsidRPr="00C66723">
        <w:rPr>
          <w:rFonts w:ascii="Calibri" w:eastAsia="Times" w:hAnsi="Calibri" w:cs="Calibri"/>
          <w:b/>
          <w:color w:val="0477AE"/>
          <w:sz w:val="28"/>
          <w:szCs w:val="28"/>
        </w:rPr>
        <w:t xml:space="preserve">mall </w:t>
      </w:r>
      <w:r w:rsidR="00A13E7C" w:rsidRPr="00C66723">
        <w:rPr>
          <w:rFonts w:ascii="Calibri" w:eastAsia="Times" w:hAnsi="Calibri" w:cs="Calibri"/>
          <w:b/>
          <w:color w:val="0477AE"/>
          <w:sz w:val="28"/>
          <w:szCs w:val="28"/>
        </w:rPr>
        <w:t>S</w:t>
      </w:r>
      <w:r w:rsidR="00001F98" w:rsidRPr="00C66723">
        <w:rPr>
          <w:rFonts w:ascii="Calibri" w:eastAsia="Times" w:hAnsi="Calibri" w:cs="Calibri"/>
          <w:b/>
          <w:color w:val="0477AE"/>
          <w:sz w:val="28"/>
          <w:szCs w:val="28"/>
        </w:rPr>
        <w:t xml:space="preserve">ales </w:t>
      </w:r>
      <w:r w:rsidR="00A13E7C" w:rsidRPr="00C66723">
        <w:rPr>
          <w:rFonts w:ascii="Calibri" w:eastAsia="Times" w:hAnsi="Calibri" w:cs="Calibri"/>
          <w:b/>
          <w:color w:val="0477AE"/>
          <w:sz w:val="28"/>
          <w:szCs w:val="28"/>
        </w:rPr>
        <w:t>T</w:t>
      </w:r>
      <w:r w:rsidR="00001F98" w:rsidRPr="00C66723">
        <w:rPr>
          <w:rFonts w:ascii="Calibri" w:eastAsia="Times" w:hAnsi="Calibri" w:cs="Calibri"/>
          <w:b/>
          <w:color w:val="0477AE"/>
          <w:sz w:val="28"/>
          <w:szCs w:val="28"/>
        </w:rPr>
        <w:t xml:space="preserve">ax on Wall Street </w:t>
      </w:r>
      <w:r w:rsidR="00A13E7C" w:rsidRPr="00C66723">
        <w:rPr>
          <w:rFonts w:ascii="Calibri" w:eastAsia="Times" w:hAnsi="Calibri" w:cs="Calibri"/>
          <w:b/>
          <w:color w:val="0477AE"/>
          <w:sz w:val="28"/>
          <w:szCs w:val="28"/>
        </w:rPr>
        <w:t>T</w:t>
      </w:r>
      <w:r w:rsidR="00001F98" w:rsidRPr="00C66723">
        <w:rPr>
          <w:rFonts w:ascii="Calibri" w:eastAsia="Times" w:hAnsi="Calibri" w:cs="Calibri"/>
          <w:b/>
          <w:color w:val="0477AE"/>
          <w:sz w:val="28"/>
          <w:szCs w:val="28"/>
        </w:rPr>
        <w:t>rading</w:t>
      </w:r>
    </w:p>
    <w:p w:rsidR="00477E0F" w:rsidRPr="00FB49A9" w:rsidRDefault="00001F98" w:rsidP="00FB49A9">
      <w:pPr>
        <w:pStyle w:val="ListParagraph"/>
        <w:spacing w:after="0" w:line="240" w:lineRule="auto"/>
        <w:ind w:left="360"/>
        <w:rPr>
          <w:rFonts w:ascii="Calibri" w:eastAsia="Calibri" w:hAnsi="Calibri" w:cs="Calibri"/>
          <w:b/>
          <w:sz w:val="24"/>
          <w:szCs w:val="24"/>
        </w:rPr>
      </w:pPr>
      <w:r w:rsidRPr="00FB49A9">
        <w:rPr>
          <w:rFonts w:ascii="Calibri" w:eastAsia="Times" w:hAnsi="Calibri" w:cs="Calibri"/>
          <w:b/>
          <w:color w:val="0477AE"/>
          <w:sz w:val="24"/>
          <w:szCs w:val="24"/>
        </w:rPr>
        <w:t>Revenue: $353 billion over 9 years</w:t>
      </w:r>
      <w:r w:rsidR="00A13E7C" w:rsidRPr="00FB49A9">
        <w:rPr>
          <w:rFonts w:ascii="Calibri" w:eastAsia="Times" w:hAnsi="Calibri" w:cs="Calibri"/>
          <w:b/>
          <w:color w:val="0477AE"/>
          <w:sz w:val="24"/>
          <w:szCs w:val="24"/>
        </w:rPr>
        <w:t>;</w:t>
      </w:r>
      <w:r w:rsidRPr="00FB49A9">
        <w:rPr>
          <w:rFonts w:ascii="Calibri" w:eastAsia="Times" w:hAnsi="Calibri" w:cs="Calibri"/>
          <w:b/>
          <w:color w:val="0477AE"/>
          <w:sz w:val="24"/>
          <w:szCs w:val="24"/>
        </w:rPr>
        <w:t xml:space="preserve"> J</w:t>
      </w:r>
      <w:r w:rsidR="00626326" w:rsidRPr="00FB49A9">
        <w:rPr>
          <w:rFonts w:ascii="Calibri" w:eastAsia="Times" w:hAnsi="Calibri" w:cs="Calibri"/>
          <w:b/>
          <w:color w:val="0477AE"/>
          <w:sz w:val="24"/>
          <w:szCs w:val="24"/>
        </w:rPr>
        <w:t xml:space="preserve">oint </w:t>
      </w:r>
      <w:r w:rsidRPr="00FB49A9">
        <w:rPr>
          <w:rFonts w:ascii="Calibri" w:eastAsia="Times" w:hAnsi="Calibri" w:cs="Calibri"/>
          <w:b/>
          <w:color w:val="0477AE"/>
          <w:sz w:val="24"/>
          <w:szCs w:val="24"/>
        </w:rPr>
        <w:t>C</w:t>
      </w:r>
      <w:r w:rsidR="00626326" w:rsidRPr="00FB49A9">
        <w:rPr>
          <w:rFonts w:ascii="Calibri" w:eastAsia="Times" w:hAnsi="Calibri" w:cs="Calibri"/>
          <w:b/>
          <w:color w:val="0477AE"/>
          <w:sz w:val="24"/>
          <w:szCs w:val="24"/>
        </w:rPr>
        <w:t xml:space="preserve">ommittee on </w:t>
      </w:r>
      <w:r w:rsidRPr="00FB49A9">
        <w:rPr>
          <w:rFonts w:ascii="Calibri" w:eastAsia="Times" w:hAnsi="Calibri" w:cs="Calibri"/>
          <w:b/>
          <w:color w:val="0477AE"/>
          <w:sz w:val="24"/>
          <w:szCs w:val="24"/>
        </w:rPr>
        <w:t>T</w:t>
      </w:r>
      <w:r w:rsidR="00626326" w:rsidRPr="00FB49A9">
        <w:rPr>
          <w:rFonts w:ascii="Calibri" w:eastAsia="Times" w:hAnsi="Calibri" w:cs="Calibri"/>
          <w:b/>
          <w:color w:val="0477AE"/>
          <w:sz w:val="24"/>
          <w:szCs w:val="24"/>
        </w:rPr>
        <w:t>axation</w:t>
      </w:r>
      <w:r w:rsidR="00477E0F" w:rsidRPr="00FB49A9">
        <w:rPr>
          <w:rFonts w:ascii="Calibri" w:eastAsia="Calibri" w:hAnsi="Calibri" w:cs="Calibri"/>
          <w:b/>
          <w:sz w:val="24"/>
          <w:szCs w:val="24"/>
        </w:rPr>
        <w:t xml:space="preserve"> </w:t>
      </w:r>
    </w:p>
    <w:p w:rsidR="00477E0F" w:rsidRPr="00477E0F" w:rsidRDefault="00477E0F" w:rsidP="00914083">
      <w:pPr>
        <w:spacing w:after="0" w:line="240" w:lineRule="auto"/>
        <w:contextualSpacing/>
        <w:rPr>
          <w:rFonts w:ascii="Calibri" w:eastAsia="Calibri" w:hAnsi="Calibri" w:cs="Calibri"/>
          <w:sz w:val="24"/>
          <w:szCs w:val="24"/>
        </w:rPr>
      </w:pPr>
    </w:p>
    <w:p w:rsidR="00477E0F" w:rsidRPr="00477E0F" w:rsidRDefault="00477E0F" w:rsidP="00EC17DE">
      <w:pPr>
        <w:spacing w:after="0" w:line="240" w:lineRule="auto"/>
        <w:ind w:left="360"/>
        <w:contextualSpacing/>
        <w:rPr>
          <w:rFonts w:ascii="Calibri" w:eastAsia="Calibri" w:hAnsi="Calibri" w:cs="Calibri"/>
          <w:color w:val="222222"/>
          <w:sz w:val="24"/>
          <w:szCs w:val="24"/>
        </w:rPr>
      </w:pPr>
      <w:r w:rsidRPr="00477E0F">
        <w:rPr>
          <w:rFonts w:ascii="Calibri" w:eastAsia="Calibri" w:hAnsi="Calibri" w:cs="Calibri"/>
          <w:sz w:val="24"/>
          <w:szCs w:val="24"/>
        </w:rPr>
        <w:t>It’s time for Wall Street to help Main Street</w:t>
      </w:r>
      <w:r w:rsidR="00A13E7C">
        <w:rPr>
          <w:rFonts w:ascii="Calibri" w:eastAsia="Calibri" w:hAnsi="Calibri" w:cs="Calibri"/>
          <w:sz w:val="24"/>
          <w:szCs w:val="24"/>
        </w:rPr>
        <w:t xml:space="preserve"> by </w:t>
      </w:r>
      <w:r w:rsidR="007077BD">
        <w:rPr>
          <w:rFonts w:ascii="Calibri" w:eastAsia="Calibri" w:hAnsi="Calibri" w:cs="Calibri"/>
          <w:sz w:val="24"/>
          <w:szCs w:val="24"/>
        </w:rPr>
        <w:t xml:space="preserve">placing </w:t>
      </w:r>
      <w:r w:rsidR="00A13E7C">
        <w:rPr>
          <w:rFonts w:ascii="Calibri" w:eastAsia="Calibri" w:hAnsi="Calibri" w:cs="Calibri"/>
          <w:sz w:val="24"/>
          <w:szCs w:val="24"/>
        </w:rPr>
        <w:t xml:space="preserve">a very small </w:t>
      </w:r>
      <w:r w:rsidRPr="00477E0F">
        <w:rPr>
          <w:rFonts w:ascii="Calibri" w:eastAsia="Calibri" w:hAnsi="Calibri" w:cs="Calibri"/>
          <w:color w:val="222222"/>
          <w:sz w:val="24"/>
          <w:szCs w:val="24"/>
        </w:rPr>
        <w:t>Financial Transaction Tax (FTT) on Wall Street trading in stocks, bonds, derivatives and other financial products.  A tax of just 3</w:t>
      </w:r>
      <w:r w:rsidR="00A260DB">
        <w:rPr>
          <w:rFonts w:ascii="Calibri" w:eastAsia="Calibri" w:hAnsi="Calibri" w:cs="Calibri"/>
          <w:color w:val="222222"/>
          <w:sz w:val="24"/>
          <w:szCs w:val="24"/>
        </w:rPr>
        <w:t xml:space="preserve">0 cents </w:t>
      </w:r>
      <w:r w:rsidRPr="00477E0F">
        <w:rPr>
          <w:rFonts w:ascii="Calibri" w:eastAsia="Calibri" w:hAnsi="Calibri" w:cs="Calibri"/>
          <w:color w:val="222222"/>
          <w:sz w:val="24"/>
          <w:szCs w:val="24"/>
        </w:rPr>
        <w:t>on each $1</w:t>
      </w:r>
      <w:r w:rsidR="00A260DB">
        <w:rPr>
          <w:rFonts w:ascii="Calibri" w:eastAsia="Calibri" w:hAnsi="Calibri" w:cs="Calibri"/>
          <w:color w:val="222222"/>
          <w:sz w:val="24"/>
          <w:szCs w:val="24"/>
        </w:rPr>
        <w:t>,0</w:t>
      </w:r>
      <w:r w:rsidRPr="00477E0F">
        <w:rPr>
          <w:rFonts w:ascii="Calibri" w:eastAsia="Calibri" w:hAnsi="Calibri" w:cs="Calibri"/>
          <w:color w:val="222222"/>
          <w:sz w:val="24"/>
          <w:szCs w:val="24"/>
        </w:rPr>
        <w:t xml:space="preserve">00 worth of trades (0.03 percent) would raise $353 billion over nine years, according to the </w:t>
      </w:r>
      <w:r w:rsidR="00A13E7C">
        <w:rPr>
          <w:rFonts w:ascii="Calibri" w:eastAsia="Calibri" w:hAnsi="Calibri" w:cs="Calibri"/>
          <w:color w:val="222222"/>
          <w:sz w:val="24"/>
          <w:szCs w:val="24"/>
        </w:rPr>
        <w:t>JCT</w:t>
      </w:r>
      <w:r w:rsidRPr="00477E0F">
        <w:rPr>
          <w:rFonts w:ascii="Calibri" w:eastAsia="Calibri" w:hAnsi="Calibri" w:cs="Calibri"/>
          <w:color w:val="222222"/>
          <w:sz w:val="24"/>
          <w:szCs w:val="24"/>
        </w:rPr>
        <w:t>.</w:t>
      </w:r>
      <w:r w:rsidRPr="00477E0F">
        <w:rPr>
          <w:rFonts w:ascii="Calibri" w:eastAsia="Calibri" w:hAnsi="Calibri" w:cs="Calibri"/>
          <w:color w:val="222222"/>
          <w:sz w:val="24"/>
          <w:szCs w:val="24"/>
          <w:vertAlign w:val="superscript"/>
        </w:rPr>
        <w:endnoteReference w:id="20"/>
      </w:r>
      <w:r w:rsidRPr="00477E0F">
        <w:rPr>
          <w:rFonts w:ascii="Calibri" w:eastAsia="Calibri" w:hAnsi="Calibri" w:cs="Calibri"/>
          <w:color w:val="222222"/>
          <w:sz w:val="24"/>
          <w:szCs w:val="24"/>
        </w:rPr>
        <w:t xml:space="preserve"> </w:t>
      </w:r>
    </w:p>
    <w:p w:rsidR="00477E0F" w:rsidRPr="00477E0F" w:rsidRDefault="00477E0F" w:rsidP="00EC17DE">
      <w:pPr>
        <w:shd w:val="clear" w:color="auto" w:fill="FFFFFF"/>
        <w:spacing w:after="0" w:line="240" w:lineRule="auto"/>
        <w:ind w:left="360"/>
        <w:rPr>
          <w:rFonts w:ascii="Calibri" w:eastAsia="Times New Roman" w:hAnsi="Calibri" w:cs="Calibri"/>
          <w:color w:val="222222"/>
          <w:sz w:val="24"/>
          <w:szCs w:val="24"/>
        </w:rPr>
      </w:pPr>
    </w:p>
    <w:p w:rsidR="00477E0F" w:rsidRPr="00477E0F" w:rsidRDefault="00477E0F" w:rsidP="00EC17DE">
      <w:pPr>
        <w:spacing w:after="0" w:line="240" w:lineRule="auto"/>
        <w:ind w:left="360"/>
        <w:rPr>
          <w:rFonts w:ascii="Calibri" w:eastAsia="Times" w:hAnsi="Calibri" w:cs="Calibri"/>
          <w:color w:val="222222"/>
          <w:sz w:val="24"/>
          <w:szCs w:val="20"/>
        </w:rPr>
      </w:pPr>
      <w:r w:rsidRPr="00477E0F">
        <w:rPr>
          <w:rFonts w:ascii="Calibri" w:eastAsia="Times" w:hAnsi="Calibri" w:cs="Calibri"/>
          <w:color w:val="222222"/>
          <w:sz w:val="24"/>
          <w:szCs w:val="20"/>
        </w:rPr>
        <w:t xml:space="preserve">Besides raising much-needed revenue, the FTT </w:t>
      </w:r>
      <w:r w:rsidRPr="00477E0F">
        <w:rPr>
          <w:rFonts w:ascii="Calibri" w:eastAsia="Times" w:hAnsi="Calibri" w:cs="Calibri"/>
          <w:iCs/>
          <w:color w:val="222222"/>
          <w:sz w:val="24"/>
          <w:szCs w:val="20"/>
        </w:rPr>
        <w:t xml:space="preserve">would reduce dangerous financial market speculation and encourage longer-term productive investment. It </w:t>
      </w:r>
      <w:r w:rsidRPr="00477E0F">
        <w:rPr>
          <w:rFonts w:ascii="Calibri" w:eastAsia="Times" w:hAnsi="Calibri" w:cs="Calibri"/>
          <w:color w:val="222222"/>
          <w:sz w:val="24"/>
          <w:szCs w:val="20"/>
        </w:rPr>
        <w:t xml:space="preserve">would hit high-volume, high-speed trading the hardest, serving to discourage short-term speculation, as well as the proliferation of ever more complex financial instruments that increasingly destabilize financial markets.  By reducing the volume and profitability of short-term trading that serves no productive purpose, the tax would encourage Wall Street to find new ways to make money from longer-term, productive investments. That </w:t>
      </w:r>
      <w:r w:rsidR="006B4430">
        <w:rPr>
          <w:rFonts w:ascii="Calibri" w:eastAsia="Times" w:hAnsi="Calibri" w:cs="Calibri"/>
          <w:color w:val="222222"/>
          <w:sz w:val="24"/>
          <w:szCs w:val="20"/>
        </w:rPr>
        <w:t xml:space="preserve">would </w:t>
      </w:r>
      <w:r w:rsidRPr="00477E0F">
        <w:rPr>
          <w:rFonts w:ascii="Calibri" w:eastAsia="Times" w:hAnsi="Calibri" w:cs="Calibri"/>
          <w:color w:val="222222"/>
          <w:sz w:val="24"/>
          <w:szCs w:val="20"/>
        </w:rPr>
        <w:t>mean more jobs on Main Street and an economy based on producing things rather than on speculating. Eleven European Union (EU) governments have now agreed to implement an FTT.</w:t>
      </w:r>
    </w:p>
    <w:p w:rsidR="001F3D53" w:rsidRDefault="001F3D53" w:rsidP="00EC17DE">
      <w:pPr>
        <w:spacing w:after="0" w:line="240" w:lineRule="auto"/>
        <w:ind w:left="360"/>
        <w:rPr>
          <w:rFonts w:ascii="Calibri" w:eastAsia="Times" w:hAnsi="Calibri" w:cs="Calibri"/>
          <w:b/>
          <w:color w:val="222222"/>
          <w:sz w:val="24"/>
          <w:szCs w:val="20"/>
        </w:rPr>
      </w:pPr>
    </w:p>
    <w:p w:rsidR="004B158A" w:rsidRPr="004B158A" w:rsidRDefault="00A13E7C" w:rsidP="00EC17DE">
      <w:pPr>
        <w:spacing w:after="0" w:line="240" w:lineRule="auto"/>
        <w:ind w:left="360"/>
        <w:rPr>
          <w:rFonts w:eastAsia="Times" w:cs="Calibri"/>
          <w:sz w:val="24"/>
          <w:szCs w:val="24"/>
          <w:u w:val="single"/>
        </w:rPr>
      </w:pPr>
      <w:r w:rsidRPr="00D814E8">
        <w:rPr>
          <w:rFonts w:ascii="Calibri" w:eastAsia="Times" w:hAnsi="Calibri" w:cs="Calibri"/>
          <w:b/>
          <w:color w:val="0477AE"/>
          <w:sz w:val="24"/>
          <w:szCs w:val="24"/>
        </w:rPr>
        <w:t>Public o</w:t>
      </w:r>
      <w:r w:rsidR="004B158A" w:rsidRPr="00D814E8">
        <w:rPr>
          <w:rFonts w:ascii="Calibri" w:eastAsia="Times" w:hAnsi="Calibri" w:cs="Calibri"/>
          <w:b/>
          <w:color w:val="0477AE"/>
          <w:sz w:val="24"/>
          <w:szCs w:val="24"/>
        </w:rPr>
        <w:t>pinion on this tax reform option</w:t>
      </w:r>
    </w:p>
    <w:p w:rsidR="00C250AC" w:rsidRDefault="004B158A" w:rsidP="00C250AC">
      <w:pPr>
        <w:autoSpaceDE w:val="0"/>
        <w:autoSpaceDN w:val="0"/>
        <w:adjustRightInd w:val="0"/>
        <w:spacing w:after="0" w:line="240" w:lineRule="auto"/>
        <w:ind w:left="360"/>
        <w:rPr>
          <w:rFonts w:eastAsia="Times" w:cs="Calibri"/>
          <w:sz w:val="24"/>
          <w:szCs w:val="24"/>
        </w:rPr>
      </w:pPr>
      <w:r w:rsidRPr="00AF7170">
        <w:rPr>
          <w:rFonts w:eastAsia="Times" w:cs="Calibri"/>
          <w:sz w:val="24"/>
          <w:szCs w:val="24"/>
        </w:rPr>
        <w:t>By a margin of 61% to 32%, voters want to “</w:t>
      </w:r>
      <w:r w:rsidRPr="00AF7170">
        <w:rPr>
          <w:rFonts w:cs="Helvetica"/>
          <w:sz w:val="24"/>
          <w:szCs w:val="24"/>
        </w:rPr>
        <w:t>Establish a small tax on all trading in stocks and bonds and other financial</w:t>
      </w:r>
      <w:r w:rsidRPr="000C4334">
        <w:rPr>
          <w:rFonts w:cs="Helvetica"/>
          <w:sz w:val="24"/>
          <w:szCs w:val="24"/>
        </w:rPr>
        <w:t xml:space="preserve"> market trades. For example, for every ten thousand dollars in a trade the tax would be three dollars</w:t>
      </w:r>
      <w:r w:rsidR="003867AC">
        <w:rPr>
          <w:rFonts w:cs="Helvetica"/>
          <w:sz w:val="24"/>
          <w:szCs w:val="24"/>
        </w:rPr>
        <w:t>.</w:t>
      </w:r>
      <w:r w:rsidRPr="00AF7170">
        <w:rPr>
          <w:rFonts w:eastAsia="Times" w:cs="Calibri"/>
          <w:sz w:val="24"/>
          <w:szCs w:val="24"/>
        </w:rPr>
        <w:t>”</w:t>
      </w:r>
    </w:p>
    <w:p w:rsidR="00C250AC" w:rsidRPr="00C250AC" w:rsidRDefault="0058300F" w:rsidP="00C250AC">
      <w:pPr>
        <w:autoSpaceDE w:val="0"/>
        <w:autoSpaceDN w:val="0"/>
        <w:adjustRightInd w:val="0"/>
        <w:spacing w:after="0" w:line="240" w:lineRule="auto"/>
        <w:ind w:left="360"/>
        <w:rPr>
          <w:rFonts w:eastAsia="Times" w:cs="Calibri"/>
          <w:sz w:val="24"/>
          <w:szCs w:val="24"/>
        </w:rPr>
      </w:pPr>
      <w:hyperlink r:id="rId17" w:history="1">
        <w:r w:rsidR="00C250AC" w:rsidRPr="00A220E7">
          <w:rPr>
            <w:rStyle w:val="Hyperlink"/>
            <w:rFonts w:cs="Calibri"/>
            <w:sz w:val="24"/>
            <w:szCs w:val="24"/>
          </w:rPr>
          <w:t>Hart Research Associates Poll</w:t>
        </w:r>
      </w:hyperlink>
      <w:r w:rsidR="00C250AC" w:rsidRPr="00B6104F">
        <w:rPr>
          <w:rFonts w:cs="Calibri"/>
          <w:sz w:val="24"/>
          <w:szCs w:val="24"/>
        </w:rPr>
        <w:t xml:space="preserve">, Jan. 18-22, 2013, </w:t>
      </w:r>
      <w:r w:rsidR="00C250AC">
        <w:rPr>
          <w:rFonts w:cs="Calibri"/>
          <w:sz w:val="24"/>
          <w:szCs w:val="24"/>
        </w:rPr>
        <w:t xml:space="preserve">Q. </w:t>
      </w:r>
      <w:r w:rsidR="00C250AC" w:rsidRPr="00B6104F">
        <w:rPr>
          <w:rFonts w:cs="Calibri"/>
          <w:sz w:val="24"/>
          <w:szCs w:val="24"/>
        </w:rPr>
        <w:t>12</w:t>
      </w:r>
    </w:p>
    <w:p w:rsidR="004B158A" w:rsidRPr="00AF7170" w:rsidRDefault="004B158A" w:rsidP="007077BD">
      <w:pPr>
        <w:autoSpaceDE w:val="0"/>
        <w:autoSpaceDN w:val="0"/>
        <w:adjustRightInd w:val="0"/>
        <w:spacing w:after="0" w:line="240" w:lineRule="auto"/>
        <w:ind w:left="360"/>
        <w:rPr>
          <w:rFonts w:eastAsia="Times" w:cs="Calibri"/>
          <w:sz w:val="24"/>
          <w:szCs w:val="24"/>
        </w:rPr>
      </w:pPr>
    </w:p>
    <w:p w:rsidR="004B158A" w:rsidRDefault="004B158A" w:rsidP="00EC17DE">
      <w:pPr>
        <w:spacing w:after="0" w:line="240" w:lineRule="auto"/>
        <w:ind w:left="360"/>
        <w:rPr>
          <w:rFonts w:ascii="Calibri" w:eastAsia="Times" w:hAnsi="Calibri" w:cs="Calibri"/>
          <w:b/>
          <w:color w:val="222222"/>
          <w:sz w:val="24"/>
          <w:szCs w:val="20"/>
        </w:rPr>
      </w:pPr>
    </w:p>
    <w:p w:rsidR="00B572B4" w:rsidRPr="00C66723" w:rsidRDefault="00B572B4" w:rsidP="00B572B4">
      <w:pPr>
        <w:pStyle w:val="ListParagraph"/>
        <w:numPr>
          <w:ilvl w:val="0"/>
          <w:numId w:val="20"/>
        </w:numPr>
        <w:spacing w:after="0" w:line="240" w:lineRule="auto"/>
        <w:ind w:left="360" w:hanging="360"/>
        <w:rPr>
          <w:rFonts w:ascii="Calibri" w:eastAsia="Times" w:hAnsi="Calibri" w:cs="Calibri"/>
          <w:b/>
          <w:color w:val="0477AE"/>
          <w:sz w:val="28"/>
          <w:szCs w:val="28"/>
        </w:rPr>
      </w:pPr>
      <w:r w:rsidRPr="00C66723">
        <w:rPr>
          <w:rFonts w:ascii="Calibri" w:eastAsia="Times" w:hAnsi="Calibri" w:cs="Calibri"/>
          <w:b/>
          <w:color w:val="0477AE"/>
          <w:sz w:val="28"/>
          <w:szCs w:val="28"/>
        </w:rPr>
        <w:t>Limit Tax Deductions for the Richest 2 Percent</w:t>
      </w:r>
    </w:p>
    <w:p w:rsidR="00B572B4" w:rsidRPr="00FB49A9" w:rsidRDefault="00B572B4" w:rsidP="00B572B4">
      <w:pPr>
        <w:pStyle w:val="ListParagraph"/>
        <w:spacing w:after="0" w:line="240" w:lineRule="auto"/>
        <w:ind w:left="360"/>
        <w:rPr>
          <w:rFonts w:ascii="Calibri" w:eastAsia="Times" w:hAnsi="Calibri" w:cs="Calibri"/>
          <w:b/>
          <w:color w:val="0477AE"/>
          <w:sz w:val="24"/>
          <w:szCs w:val="24"/>
        </w:rPr>
      </w:pPr>
      <w:r w:rsidRPr="00FB49A9">
        <w:rPr>
          <w:rFonts w:ascii="Calibri" w:eastAsia="Times" w:hAnsi="Calibri" w:cs="Calibri"/>
          <w:b/>
          <w:color w:val="0477AE"/>
          <w:sz w:val="24"/>
          <w:szCs w:val="24"/>
        </w:rPr>
        <w:t>Revenue:  $513 billion over 10 years; Joint Committee on Taxation updated by Citizens for Tax Justice</w:t>
      </w:r>
    </w:p>
    <w:p w:rsidR="00B572B4" w:rsidRPr="00486B2A" w:rsidRDefault="00B572B4" w:rsidP="00B572B4">
      <w:pPr>
        <w:spacing w:after="0" w:line="240" w:lineRule="auto"/>
        <w:rPr>
          <w:rFonts w:ascii="Calibri" w:eastAsia="Times" w:hAnsi="Calibri" w:cs="Calibri"/>
          <w:b/>
          <w:sz w:val="24"/>
          <w:szCs w:val="24"/>
        </w:rPr>
      </w:pPr>
    </w:p>
    <w:p w:rsidR="00B572B4" w:rsidRDefault="00B572B4" w:rsidP="00B572B4">
      <w:pPr>
        <w:spacing w:after="0" w:line="240" w:lineRule="auto"/>
        <w:ind w:left="360"/>
        <w:rPr>
          <w:rFonts w:ascii="Calibri" w:eastAsia="Times" w:hAnsi="Calibri" w:cs="Calibri"/>
          <w:sz w:val="24"/>
          <w:szCs w:val="24"/>
        </w:rPr>
      </w:pPr>
      <w:r>
        <w:rPr>
          <w:rFonts w:ascii="Calibri" w:eastAsia="Times" w:hAnsi="Calibri" w:cs="Calibri"/>
          <w:sz w:val="24"/>
          <w:szCs w:val="24"/>
        </w:rPr>
        <w:t>Under the current tax code, the highest-income taxpayers get a much larger tax break from tax deductions or exclusions from taxable income than middle-class taxpayers.  For example, for a wealthy taxpayer in the 39.6 percent tax bracket who pays $10,000 in mortgage interest, the mortgage interest deduction is worth $3,960.  For a middle-income taxpayer in the 15 percent tax bracket who pays the same $10,000 in mortgage interest, the deduction is only worth $1,500.  This is both unfair and inefficient.  It’s unfair because the richest 2 percent of Americans shouldn’t get a bigger tax break than middle-class families for doing things like buying a house or saving for retirement.  It’s inefficient because these costly tax incentives are poorly targeted at those least likely to need them or respond to them.</w:t>
      </w:r>
    </w:p>
    <w:p w:rsidR="00B572B4" w:rsidRDefault="00B572B4" w:rsidP="00B572B4">
      <w:pPr>
        <w:spacing w:after="0" w:line="240" w:lineRule="auto"/>
        <w:ind w:left="360"/>
        <w:rPr>
          <w:rFonts w:ascii="Calibri" w:eastAsia="Times" w:hAnsi="Calibri" w:cs="Calibri"/>
          <w:sz w:val="24"/>
          <w:szCs w:val="24"/>
        </w:rPr>
      </w:pPr>
    </w:p>
    <w:p w:rsidR="00B572B4" w:rsidRDefault="00B572B4" w:rsidP="00B572B4">
      <w:pPr>
        <w:spacing w:after="0" w:line="240" w:lineRule="auto"/>
        <w:ind w:left="360"/>
        <w:rPr>
          <w:rFonts w:eastAsia="Times" w:cs="Calibri"/>
          <w:sz w:val="24"/>
          <w:szCs w:val="24"/>
          <w:u w:val="single"/>
        </w:rPr>
      </w:pPr>
      <w:r>
        <w:rPr>
          <w:rFonts w:ascii="Calibri" w:eastAsia="Times" w:hAnsi="Calibri" w:cs="Calibri"/>
          <w:sz w:val="24"/>
          <w:szCs w:val="24"/>
        </w:rPr>
        <w:t>President Obama proposes to reform the “upside-down” problem with tax deductions and exclusions by limiting the value of several deductions and exclusions for the richest 2 percent – those households making more than $250,000 a year in taxable income – to 28 percent. In other words, the richest taxpayers would get the same tax benefit from these tax breaks as a household in the 28 percent bracket, but not more as they do now. This policy would raise an estimated $513 billion in revenue over the next decade.</w:t>
      </w:r>
      <w:r w:rsidRPr="00D13DCA">
        <w:rPr>
          <w:rStyle w:val="EndnoteReference"/>
          <w:rFonts w:ascii="Calibri" w:eastAsia="Times" w:hAnsi="Calibri"/>
          <w:sz w:val="24"/>
          <w:szCs w:val="24"/>
        </w:rPr>
        <w:endnoteReference w:id="21"/>
      </w:r>
      <w:r>
        <w:rPr>
          <w:rFonts w:ascii="Calibri" w:eastAsia="Times" w:hAnsi="Calibri" w:cs="Calibri"/>
          <w:sz w:val="24"/>
          <w:szCs w:val="24"/>
        </w:rPr>
        <w:t xml:space="preserve"> </w:t>
      </w:r>
    </w:p>
    <w:p w:rsidR="00B572B4" w:rsidRDefault="00B572B4" w:rsidP="00B572B4">
      <w:pPr>
        <w:spacing w:after="0" w:line="240" w:lineRule="auto"/>
        <w:ind w:left="360"/>
        <w:rPr>
          <w:rFonts w:eastAsia="Times" w:cs="Calibri"/>
          <w:sz w:val="24"/>
          <w:szCs w:val="24"/>
          <w:u w:val="single"/>
        </w:rPr>
      </w:pPr>
    </w:p>
    <w:p w:rsidR="00D814E8" w:rsidRDefault="00B572B4" w:rsidP="00B572B4">
      <w:pPr>
        <w:spacing w:after="0" w:line="240" w:lineRule="auto"/>
        <w:ind w:left="360"/>
        <w:rPr>
          <w:rFonts w:eastAsia="Times" w:cs="Calibri"/>
          <w:sz w:val="24"/>
          <w:szCs w:val="24"/>
        </w:rPr>
      </w:pPr>
      <w:r w:rsidRPr="00D814E8">
        <w:rPr>
          <w:rFonts w:ascii="Calibri" w:eastAsia="Times" w:hAnsi="Calibri" w:cs="Calibri"/>
          <w:b/>
          <w:color w:val="0477AE"/>
          <w:sz w:val="24"/>
          <w:szCs w:val="24"/>
        </w:rPr>
        <w:t>Public opinion on this tax reform option</w:t>
      </w:r>
      <w:r>
        <w:rPr>
          <w:rFonts w:eastAsia="Times" w:cs="Calibri"/>
          <w:sz w:val="24"/>
          <w:szCs w:val="24"/>
        </w:rPr>
        <w:t xml:space="preserve"> </w:t>
      </w:r>
    </w:p>
    <w:p w:rsidR="00C250AC" w:rsidRDefault="00B572B4" w:rsidP="00C250AC">
      <w:pPr>
        <w:spacing w:after="0" w:line="240" w:lineRule="auto"/>
        <w:ind w:left="360"/>
        <w:rPr>
          <w:rFonts w:eastAsia="Times" w:cs="Calibri"/>
          <w:sz w:val="24"/>
          <w:szCs w:val="24"/>
          <w:u w:val="single"/>
        </w:rPr>
      </w:pPr>
      <w:r w:rsidRPr="0023786B">
        <w:rPr>
          <w:rFonts w:cs="Helvetica"/>
          <w:sz w:val="24"/>
          <w:szCs w:val="24"/>
        </w:rPr>
        <w:t>By</w:t>
      </w:r>
      <w:r w:rsidR="002F2092">
        <w:rPr>
          <w:rFonts w:cs="Helvetica"/>
          <w:sz w:val="24"/>
          <w:szCs w:val="24"/>
        </w:rPr>
        <w:t xml:space="preserve"> a margin of 56</w:t>
      </w:r>
      <w:r w:rsidRPr="009E1E1B">
        <w:rPr>
          <w:rFonts w:cs="Helvetica"/>
          <w:sz w:val="24"/>
          <w:szCs w:val="24"/>
        </w:rPr>
        <w:t>% to 41%</w:t>
      </w:r>
      <w:r w:rsidRPr="00512B80">
        <w:rPr>
          <w:rFonts w:cs="Helvetica"/>
          <w:sz w:val="24"/>
          <w:szCs w:val="24"/>
        </w:rPr>
        <w:t xml:space="preserve">, voters </w:t>
      </w:r>
      <w:r w:rsidR="003867AC">
        <w:rPr>
          <w:rFonts w:cs="Helvetica"/>
          <w:sz w:val="24"/>
          <w:szCs w:val="24"/>
        </w:rPr>
        <w:t>support</w:t>
      </w:r>
      <w:r>
        <w:rPr>
          <w:rFonts w:cs="Helvetica"/>
          <w:sz w:val="24"/>
          <w:szCs w:val="24"/>
        </w:rPr>
        <w:t xml:space="preserve"> “Limit[</w:t>
      </w:r>
      <w:proofErr w:type="spellStart"/>
      <w:r>
        <w:rPr>
          <w:rFonts w:cs="Helvetica"/>
          <w:sz w:val="24"/>
          <w:szCs w:val="24"/>
        </w:rPr>
        <w:t>ing</w:t>
      </w:r>
      <w:proofErr w:type="spellEnd"/>
      <w:r>
        <w:rPr>
          <w:rFonts w:cs="Helvetica"/>
          <w:sz w:val="24"/>
          <w:szCs w:val="24"/>
        </w:rPr>
        <w:t>] tax deductions for people making over $250,000 a year.”</w:t>
      </w:r>
    </w:p>
    <w:p w:rsidR="00B572B4" w:rsidRDefault="0058300F" w:rsidP="003867AC">
      <w:pPr>
        <w:spacing w:after="0" w:line="240" w:lineRule="auto"/>
        <w:ind w:left="360"/>
        <w:rPr>
          <w:rFonts w:ascii="Calibri" w:eastAsia="Times" w:hAnsi="Calibri" w:cs="Calibri"/>
          <w:sz w:val="24"/>
          <w:szCs w:val="24"/>
        </w:rPr>
      </w:pPr>
      <w:hyperlink r:id="rId18" w:history="1">
        <w:r w:rsidR="00C250AC" w:rsidRPr="00A220E7">
          <w:rPr>
            <w:rStyle w:val="Hyperlink"/>
            <w:rFonts w:cs="Calibri"/>
            <w:sz w:val="24"/>
            <w:szCs w:val="24"/>
          </w:rPr>
          <w:t>Hart Research Associates Poll</w:t>
        </w:r>
      </w:hyperlink>
      <w:r w:rsidR="00C250AC" w:rsidRPr="00B6104F">
        <w:rPr>
          <w:rFonts w:cs="Calibri"/>
          <w:sz w:val="24"/>
          <w:szCs w:val="24"/>
        </w:rPr>
        <w:t xml:space="preserve">, Jan. 18-22, 2013, </w:t>
      </w:r>
      <w:r w:rsidR="00C250AC">
        <w:rPr>
          <w:rFonts w:cs="Calibri"/>
          <w:sz w:val="24"/>
          <w:szCs w:val="24"/>
        </w:rPr>
        <w:t xml:space="preserve">Q. </w:t>
      </w:r>
      <w:r w:rsidR="00C250AC" w:rsidRPr="00B6104F">
        <w:rPr>
          <w:rFonts w:cs="Calibri"/>
          <w:sz w:val="24"/>
          <w:szCs w:val="24"/>
        </w:rPr>
        <w:t>12</w:t>
      </w:r>
      <w:r w:rsidR="00B572B4">
        <w:rPr>
          <w:rFonts w:eastAsia="Times" w:cs="Calibri"/>
          <w:sz w:val="24"/>
          <w:szCs w:val="24"/>
        </w:rPr>
        <w:t xml:space="preserve"> </w:t>
      </w:r>
    </w:p>
    <w:p w:rsidR="00B572B4" w:rsidRPr="00C66723" w:rsidRDefault="00B572B4" w:rsidP="00B572B4">
      <w:pPr>
        <w:pStyle w:val="ListParagraph"/>
        <w:numPr>
          <w:ilvl w:val="0"/>
          <w:numId w:val="20"/>
        </w:numPr>
        <w:spacing w:after="0" w:line="240" w:lineRule="auto"/>
        <w:ind w:left="360" w:hanging="360"/>
        <w:rPr>
          <w:rFonts w:ascii="Calibri" w:eastAsia="Times" w:hAnsi="Calibri" w:cs="Calibri"/>
          <w:b/>
          <w:color w:val="0477AE"/>
          <w:sz w:val="28"/>
          <w:szCs w:val="28"/>
        </w:rPr>
      </w:pPr>
      <w:r w:rsidRPr="00C66723">
        <w:rPr>
          <w:rFonts w:ascii="Calibri" w:eastAsia="Times" w:hAnsi="Calibri" w:cs="Calibri"/>
          <w:b/>
          <w:color w:val="0477AE"/>
          <w:sz w:val="28"/>
          <w:szCs w:val="28"/>
        </w:rPr>
        <w:lastRenderedPageBreak/>
        <w:t>Close Loopholes that Allow the Very Wealthy to Shield Much of Their Income from Taxation</w:t>
      </w:r>
    </w:p>
    <w:p w:rsidR="00B572B4" w:rsidRPr="00FB49A9" w:rsidRDefault="00B572B4" w:rsidP="00B572B4">
      <w:pPr>
        <w:pStyle w:val="ListParagraph"/>
        <w:spacing w:after="0" w:line="240" w:lineRule="auto"/>
        <w:ind w:left="360"/>
        <w:rPr>
          <w:rFonts w:ascii="Calibri" w:eastAsia="Times" w:hAnsi="Calibri" w:cs="Calibri"/>
          <w:b/>
          <w:color w:val="0477AE"/>
          <w:sz w:val="24"/>
          <w:szCs w:val="24"/>
        </w:rPr>
      </w:pPr>
      <w:r w:rsidRPr="00FB49A9">
        <w:rPr>
          <w:rFonts w:ascii="Calibri" w:eastAsia="Times" w:hAnsi="Calibri" w:cs="Calibri"/>
          <w:b/>
          <w:color w:val="0477AE"/>
          <w:sz w:val="24"/>
          <w:szCs w:val="24"/>
        </w:rPr>
        <w:t>Revenue:  $1.5-$1.</w:t>
      </w:r>
      <w:r w:rsidR="009779A6">
        <w:rPr>
          <w:rFonts w:ascii="Calibri" w:eastAsia="Times" w:hAnsi="Calibri" w:cs="Calibri"/>
          <w:b/>
          <w:color w:val="0477AE"/>
          <w:sz w:val="24"/>
          <w:szCs w:val="24"/>
        </w:rPr>
        <w:t>7</w:t>
      </w:r>
      <w:r w:rsidRPr="00FB49A9">
        <w:rPr>
          <w:rFonts w:ascii="Calibri" w:eastAsia="Times" w:hAnsi="Calibri" w:cs="Calibri"/>
          <w:b/>
          <w:color w:val="0477AE"/>
          <w:sz w:val="24"/>
          <w:szCs w:val="24"/>
        </w:rPr>
        <w:t xml:space="preserve"> trillion over 10 years </w:t>
      </w:r>
    </w:p>
    <w:p w:rsidR="00B572B4" w:rsidRPr="00486B2A" w:rsidRDefault="00B572B4" w:rsidP="00B572B4">
      <w:pPr>
        <w:spacing w:after="0" w:line="240" w:lineRule="auto"/>
        <w:rPr>
          <w:rFonts w:eastAsia="Times New Roman" w:cs="Times New Roman"/>
          <w:b/>
          <w:sz w:val="24"/>
          <w:szCs w:val="24"/>
        </w:rPr>
      </w:pPr>
    </w:p>
    <w:p w:rsidR="00B572B4" w:rsidRDefault="00B572B4" w:rsidP="00B572B4">
      <w:pPr>
        <w:spacing w:line="240" w:lineRule="auto"/>
        <w:ind w:left="360"/>
        <w:rPr>
          <w:rFonts w:eastAsia="Times New Roman" w:cs="Times New Roman"/>
          <w:sz w:val="24"/>
          <w:szCs w:val="24"/>
        </w:rPr>
      </w:pPr>
      <w:r w:rsidRPr="003C03FC">
        <w:rPr>
          <w:rFonts w:eastAsia="Times New Roman" w:cs="Times New Roman"/>
          <w:sz w:val="24"/>
          <w:szCs w:val="24"/>
        </w:rPr>
        <w:t>Very wealthy taxpayers can accumulate even more wealth</w:t>
      </w:r>
      <w:r>
        <w:rPr>
          <w:rFonts w:eastAsia="Times New Roman" w:cs="Times New Roman"/>
          <w:sz w:val="24"/>
          <w:szCs w:val="24"/>
        </w:rPr>
        <w:t xml:space="preserve"> – </w:t>
      </w:r>
      <w:r w:rsidRPr="003C03FC">
        <w:rPr>
          <w:rFonts w:eastAsia="Times New Roman" w:cs="Times New Roman"/>
          <w:sz w:val="24"/>
          <w:szCs w:val="24"/>
        </w:rPr>
        <w:t>while paying little or no taxes</w:t>
      </w:r>
      <w:r>
        <w:rPr>
          <w:rFonts w:eastAsia="Times New Roman" w:cs="Times New Roman"/>
          <w:sz w:val="24"/>
          <w:szCs w:val="24"/>
        </w:rPr>
        <w:t xml:space="preserve"> – </w:t>
      </w:r>
      <w:r w:rsidRPr="003C03FC">
        <w:rPr>
          <w:rFonts w:eastAsia="Times New Roman" w:cs="Times New Roman"/>
          <w:sz w:val="24"/>
          <w:szCs w:val="24"/>
        </w:rPr>
        <w:t xml:space="preserve">by taking advantage of </w:t>
      </w:r>
      <w:r>
        <w:rPr>
          <w:rFonts w:eastAsia="Times New Roman" w:cs="Times New Roman"/>
          <w:sz w:val="24"/>
          <w:szCs w:val="24"/>
        </w:rPr>
        <w:t xml:space="preserve">a variety of </w:t>
      </w:r>
      <w:r w:rsidRPr="003C03FC">
        <w:rPr>
          <w:rFonts w:eastAsia="Times New Roman" w:cs="Times New Roman"/>
          <w:sz w:val="24"/>
          <w:szCs w:val="24"/>
        </w:rPr>
        <w:t xml:space="preserve">tax </w:t>
      </w:r>
      <w:r>
        <w:rPr>
          <w:rFonts w:eastAsia="Times New Roman" w:cs="Times New Roman"/>
          <w:sz w:val="24"/>
          <w:szCs w:val="24"/>
        </w:rPr>
        <w:t xml:space="preserve">breaks and </w:t>
      </w:r>
      <w:r w:rsidRPr="003C03FC">
        <w:rPr>
          <w:rFonts w:eastAsia="Times New Roman" w:cs="Times New Roman"/>
          <w:sz w:val="24"/>
          <w:szCs w:val="24"/>
        </w:rPr>
        <w:t>loopholes that allow them to exclude</w:t>
      </w:r>
      <w:r>
        <w:rPr>
          <w:rFonts w:eastAsia="Times New Roman" w:cs="Times New Roman"/>
          <w:sz w:val="24"/>
          <w:szCs w:val="24"/>
        </w:rPr>
        <w:t>, defer,</w:t>
      </w:r>
      <w:r w:rsidRPr="003C03FC">
        <w:rPr>
          <w:rFonts w:eastAsia="Times New Roman" w:cs="Times New Roman"/>
          <w:sz w:val="24"/>
          <w:szCs w:val="24"/>
        </w:rPr>
        <w:t xml:space="preserve"> or under-report income</w:t>
      </w:r>
      <w:r>
        <w:rPr>
          <w:rFonts w:eastAsia="Times New Roman" w:cs="Times New Roman"/>
          <w:sz w:val="24"/>
          <w:szCs w:val="24"/>
        </w:rPr>
        <w:t>, so that much of their added wealth escapes tax altogether</w:t>
      </w:r>
      <w:r w:rsidRPr="003C03FC">
        <w:rPr>
          <w:rFonts w:eastAsia="Times New Roman" w:cs="Times New Roman"/>
          <w:sz w:val="24"/>
          <w:szCs w:val="24"/>
        </w:rPr>
        <w:t>.</w:t>
      </w:r>
      <w:r w:rsidRPr="003C03FC">
        <w:rPr>
          <w:rStyle w:val="EndnoteReference"/>
          <w:rFonts w:eastAsia="Times New Roman"/>
          <w:sz w:val="24"/>
          <w:szCs w:val="24"/>
        </w:rPr>
        <w:endnoteReference w:id="22"/>
      </w:r>
      <w:r w:rsidRPr="003C03FC">
        <w:rPr>
          <w:rFonts w:eastAsia="Times New Roman" w:cs="Times New Roman"/>
          <w:sz w:val="24"/>
          <w:szCs w:val="24"/>
        </w:rPr>
        <w:t xml:space="preserve">  </w:t>
      </w:r>
      <w:r>
        <w:rPr>
          <w:rFonts w:eastAsia="Times New Roman" w:cs="Times New Roman"/>
          <w:sz w:val="24"/>
          <w:szCs w:val="24"/>
        </w:rPr>
        <w:t>There are a number of approaches to close these loopholes:</w:t>
      </w: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Close the Inherited Capital Gains Tax Loophole </w:t>
      </w:r>
    </w:p>
    <w:p w:rsidR="00B572B4" w:rsidRPr="00C66723" w:rsidRDefault="00B572B4"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Revenue: About $500 billion over 10 years; Joint Committee on Taxation </w:t>
      </w:r>
    </w:p>
    <w:p w:rsidR="00B572B4" w:rsidRPr="00764310" w:rsidRDefault="00B572B4" w:rsidP="00B572B4">
      <w:pPr>
        <w:pStyle w:val="ListParagraph"/>
        <w:spacing w:line="240" w:lineRule="auto"/>
        <w:rPr>
          <w:rFonts w:eastAsia="Times New Roman" w:cs="Times New Roman"/>
          <w:sz w:val="24"/>
          <w:szCs w:val="24"/>
        </w:rPr>
      </w:pPr>
    </w:p>
    <w:p w:rsidR="00B572B4" w:rsidRDefault="00B572B4" w:rsidP="00B572B4">
      <w:pPr>
        <w:pStyle w:val="ListParagraph"/>
        <w:spacing w:after="0" w:line="240" w:lineRule="auto"/>
        <w:rPr>
          <w:rFonts w:eastAsia="Times New Roman" w:cs="Times New Roman"/>
          <w:sz w:val="24"/>
          <w:szCs w:val="24"/>
        </w:rPr>
      </w:pPr>
      <w:r>
        <w:rPr>
          <w:rFonts w:eastAsia="Times New Roman" w:cs="Times New Roman"/>
          <w:sz w:val="24"/>
          <w:szCs w:val="24"/>
        </w:rPr>
        <w:t xml:space="preserve">One of the largest loopholes in the tax code allows wealthy people to avoid capital gains tax by holding onto their assets until they die and bequeathing them to heirs. Normally, capital gains – the appreciation in value of stocks, businesses, or other assets – are taxed when a person sells them. But if a person holds onto assets until his death and passes them onto heirs, then neither the decedent nor his heirs ever have to pay capital gains taxes on the appreciation during the decedent’s lifetime. As a result of this </w:t>
      </w:r>
      <w:r w:rsidRPr="000A1071">
        <w:rPr>
          <w:rFonts w:eastAsia="Times New Roman" w:cs="Times New Roman"/>
          <w:sz w:val="24"/>
          <w:szCs w:val="24"/>
        </w:rPr>
        <w:t>loophole,</w:t>
      </w:r>
      <w:r>
        <w:rPr>
          <w:rFonts w:eastAsia="Times New Roman" w:cs="Times New Roman"/>
          <w:sz w:val="24"/>
          <w:szCs w:val="24"/>
        </w:rPr>
        <w:t xml:space="preserve"> about 56 percent of the value of estates worth more than $10 million is </w:t>
      </w:r>
      <w:proofErr w:type="gramStart"/>
      <w:r>
        <w:rPr>
          <w:rFonts w:eastAsia="Times New Roman" w:cs="Times New Roman"/>
          <w:sz w:val="24"/>
          <w:szCs w:val="24"/>
        </w:rPr>
        <w:t>unrealized capital gains that is</w:t>
      </w:r>
      <w:proofErr w:type="gramEnd"/>
      <w:r>
        <w:rPr>
          <w:rFonts w:eastAsia="Times New Roman" w:cs="Times New Roman"/>
          <w:sz w:val="24"/>
          <w:szCs w:val="24"/>
        </w:rPr>
        <w:t xml:space="preserve"> never taxed.</w:t>
      </w:r>
      <w:r>
        <w:rPr>
          <w:rStyle w:val="EndnoteReference"/>
          <w:rFonts w:eastAsia="Times New Roman"/>
          <w:sz w:val="24"/>
          <w:szCs w:val="24"/>
        </w:rPr>
        <w:endnoteReference w:id="23"/>
      </w:r>
      <w:r>
        <w:rPr>
          <w:rFonts w:eastAsia="Times New Roman" w:cs="Times New Roman"/>
          <w:sz w:val="24"/>
          <w:szCs w:val="24"/>
        </w:rPr>
        <w:t xml:space="preserve">  This tax code rule also creates inefficiency as investors are “locked into” holding onto assets they would otherwise want to sell.</w:t>
      </w:r>
    </w:p>
    <w:p w:rsidR="00B572B4" w:rsidRDefault="00B572B4" w:rsidP="00B572B4">
      <w:pPr>
        <w:spacing w:after="0" w:line="240" w:lineRule="auto"/>
        <w:ind w:left="720"/>
        <w:rPr>
          <w:rFonts w:eastAsia="Times New Roman" w:cs="Times New Roman"/>
          <w:color w:val="000000"/>
          <w:sz w:val="24"/>
          <w:szCs w:val="24"/>
        </w:rPr>
      </w:pPr>
    </w:p>
    <w:p w:rsidR="00B572B4" w:rsidRDefault="00B572B4" w:rsidP="00B572B4">
      <w:pPr>
        <w:spacing w:after="0" w:line="240" w:lineRule="auto"/>
        <w:ind w:left="720"/>
        <w:rPr>
          <w:rFonts w:eastAsia="Times New Roman" w:cs="Times New Roman"/>
          <w:color w:val="000000"/>
          <w:sz w:val="24"/>
          <w:szCs w:val="24"/>
        </w:rPr>
      </w:pPr>
      <w:r>
        <w:rPr>
          <w:rFonts w:eastAsia="Times New Roman" w:cs="Times New Roman"/>
          <w:color w:val="000000"/>
          <w:sz w:val="24"/>
          <w:szCs w:val="24"/>
        </w:rPr>
        <w:t>Reforming the inherited capital gains loophole – technically called “step-up of basis at death” – could increase revenues substantially. The JCT estimates that $258 billion will be lost between 2013 and 2017 because of the exclusion of capital gains at death. Over 10 years the loss could be at least $516 billion.</w:t>
      </w:r>
      <w:r>
        <w:rPr>
          <w:rStyle w:val="EndnoteReference"/>
          <w:rFonts w:eastAsia="Times New Roman"/>
          <w:color w:val="000000"/>
          <w:sz w:val="24"/>
          <w:szCs w:val="24"/>
        </w:rPr>
        <w:endnoteReference w:id="24"/>
      </w:r>
      <w:r>
        <w:rPr>
          <w:rFonts w:eastAsia="Times New Roman" w:cs="Times New Roman"/>
          <w:color w:val="000000"/>
          <w:sz w:val="24"/>
          <w:szCs w:val="24"/>
        </w:rPr>
        <w:t xml:space="preserve">  To prevent these losses a person’s estate should be required to pay capital gains tax on appreciation during that person’s lifetime (perhaps with an exemption that would limit the reform to large capital gains so that the vast majority of people would be unaffected</w:t>
      </w:r>
      <w:r>
        <w:rPr>
          <w:rStyle w:val="EndnoteReference"/>
          <w:rFonts w:eastAsia="Times New Roman"/>
          <w:color w:val="000000"/>
          <w:sz w:val="24"/>
          <w:szCs w:val="24"/>
        </w:rPr>
        <w:endnoteReference w:id="25"/>
      </w:r>
      <w:r>
        <w:rPr>
          <w:rFonts w:eastAsia="Times New Roman" w:cs="Times New Roman"/>
          <w:color w:val="000000"/>
          <w:sz w:val="24"/>
          <w:szCs w:val="24"/>
        </w:rPr>
        <w:t xml:space="preserve">). </w:t>
      </w:r>
    </w:p>
    <w:p w:rsidR="00B572B4" w:rsidRDefault="00B572B4" w:rsidP="00B572B4">
      <w:pPr>
        <w:spacing w:after="0" w:line="240" w:lineRule="auto"/>
        <w:ind w:left="720"/>
        <w:rPr>
          <w:rFonts w:eastAsia="Times New Roman" w:cs="Times New Roman"/>
          <w:color w:val="000000"/>
          <w:sz w:val="24"/>
          <w:szCs w:val="24"/>
        </w:rPr>
      </w:pPr>
    </w:p>
    <w:p w:rsidR="00B572B4" w:rsidRDefault="00B572B4" w:rsidP="00B572B4">
      <w:pPr>
        <w:spacing w:after="0" w:line="240" w:lineRule="auto"/>
        <w:ind w:left="720"/>
        <w:rPr>
          <w:rFonts w:eastAsia="Times New Roman" w:cs="Times New Roman"/>
          <w:color w:val="000000"/>
          <w:sz w:val="24"/>
          <w:szCs w:val="24"/>
        </w:rPr>
      </w:pPr>
      <w:r>
        <w:rPr>
          <w:rFonts w:eastAsia="Times New Roman" w:cs="Times New Roman"/>
          <w:color w:val="000000"/>
          <w:sz w:val="24"/>
          <w:szCs w:val="24"/>
        </w:rPr>
        <w:t xml:space="preserve">The deficit-reduction proposal made by Erskine Bowles and Alan Simpson, under the auspices of the </w:t>
      </w:r>
      <w:r w:rsidRPr="00213588">
        <w:rPr>
          <w:rFonts w:eastAsia="Times New Roman" w:cs="Times New Roman"/>
          <w:color w:val="000000"/>
          <w:sz w:val="24"/>
          <w:szCs w:val="24"/>
        </w:rPr>
        <w:t xml:space="preserve">National Commission </w:t>
      </w:r>
      <w:r>
        <w:rPr>
          <w:rFonts w:eastAsia="Times New Roman" w:cs="Times New Roman"/>
          <w:color w:val="000000"/>
          <w:sz w:val="24"/>
          <w:szCs w:val="24"/>
        </w:rPr>
        <w:t>o</w:t>
      </w:r>
      <w:r w:rsidRPr="00213588">
        <w:rPr>
          <w:rFonts w:eastAsia="Times New Roman" w:cs="Times New Roman"/>
          <w:color w:val="000000"/>
          <w:sz w:val="24"/>
          <w:szCs w:val="24"/>
        </w:rPr>
        <w:t>n Fiscal R</w:t>
      </w:r>
      <w:r>
        <w:rPr>
          <w:rFonts w:eastAsia="Times New Roman" w:cs="Times New Roman"/>
          <w:color w:val="000000"/>
          <w:sz w:val="24"/>
          <w:szCs w:val="24"/>
        </w:rPr>
        <w:t>e</w:t>
      </w:r>
      <w:r w:rsidRPr="00213588">
        <w:rPr>
          <w:rFonts w:eastAsia="Times New Roman" w:cs="Times New Roman"/>
          <w:color w:val="000000"/>
          <w:sz w:val="24"/>
          <w:szCs w:val="24"/>
        </w:rPr>
        <w:t>sponsibilit</w:t>
      </w:r>
      <w:r>
        <w:rPr>
          <w:rFonts w:eastAsia="Times New Roman" w:cs="Times New Roman"/>
          <w:color w:val="000000"/>
          <w:sz w:val="24"/>
          <w:szCs w:val="24"/>
        </w:rPr>
        <w:t xml:space="preserve">y and </w:t>
      </w:r>
      <w:r w:rsidR="009B4C4A">
        <w:rPr>
          <w:rFonts w:eastAsia="Times New Roman" w:cs="Times New Roman"/>
          <w:color w:val="000000"/>
          <w:sz w:val="24"/>
          <w:szCs w:val="24"/>
        </w:rPr>
        <w:t>R</w:t>
      </w:r>
      <w:r>
        <w:rPr>
          <w:rFonts w:eastAsia="Times New Roman" w:cs="Times New Roman"/>
          <w:color w:val="000000"/>
          <w:sz w:val="24"/>
          <w:szCs w:val="24"/>
        </w:rPr>
        <w:t>eform</w:t>
      </w:r>
      <w:r w:rsidR="009B4C4A">
        <w:rPr>
          <w:rFonts w:eastAsia="Times New Roman" w:cs="Times New Roman"/>
          <w:color w:val="000000"/>
          <w:sz w:val="24"/>
          <w:szCs w:val="24"/>
        </w:rPr>
        <w:t>,</w:t>
      </w:r>
      <w:r>
        <w:rPr>
          <w:rFonts w:eastAsia="Times New Roman" w:cs="Times New Roman"/>
          <w:color w:val="000000"/>
          <w:sz w:val="24"/>
          <w:szCs w:val="24"/>
        </w:rPr>
        <w:t xml:space="preserve"> also called for closing this loophole.</w:t>
      </w:r>
      <w:r>
        <w:rPr>
          <w:rStyle w:val="EndnoteReference"/>
          <w:rFonts w:eastAsia="Times New Roman"/>
          <w:color w:val="000000"/>
          <w:sz w:val="24"/>
          <w:szCs w:val="24"/>
        </w:rPr>
        <w:endnoteReference w:id="26"/>
      </w:r>
      <w:r>
        <w:rPr>
          <w:rFonts w:eastAsia="Times New Roman" w:cs="Times New Roman"/>
          <w:color w:val="000000"/>
          <w:sz w:val="24"/>
          <w:szCs w:val="24"/>
        </w:rPr>
        <w:t xml:space="preserve"> </w:t>
      </w:r>
    </w:p>
    <w:p w:rsidR="00B572B4" w:rsidRDefault="00B572B4" w:rsidP="00B572B4">
      <w:pPr>
        <w:spacing w:after="0" w:line="240" w:lineRule="auto"/>
        <w:ind w:left="720"/>
        <w:rPr>
          <w:rFonts w:eastAsia="Times New Roman" w:cs="Times New Roman"/>
          <w:color w:val="000000"/>
          <w:sz w:val="24"/>
          <w:szCs w:val="24"/>
        </w:rPr>
      </w:pPr>
    </w:p>
    <w:p w:rsidR="00B572B4" w:rsidRDefault="00B572B4" w:rsidP="00B572B4">
      <w:pPr>
        <w:spacing w:after="0" w:line="240" w:lineRule="auto"/>
        <w:ind w:left="720"/>
        <w:rPr>
          <w:rFonts w:eastAsia="Times" w:cs="Calibri"/>
          <w:sz w:val="24"/>
          <w:szCs w:val="24"/>
          <w:u w:val="single"/>
        </w:rPr>
      </w:pPr>
      <w:r>
        <w:rPr>
          <w:rFonts w:eastAsia="Times New Roman" w:cs="Times New Roman"/>
          <w:color w:val="000000"/>
          <w:sz w:val="24"/>
          <w:szCs w:val="24"/>
        </w:rPr>
        <w:t>Another approach, which is likely to be less effective</w:t>
      </w:r>
      <w:r w:rsidR="002945F7">
        <w:rPr>
          <w:rFonts w:eastAsia="Times New Roman" w:cs="Times New Roman"/>
          <w:color w:val="000000"/>
          <w:sz w:val="24"/>
          <w:szCs w:val="24"/>
        </w:rPr>
        <w:t xml:space="preserve"> in raising revenue</w:t>
      </w:r>
      <w:r>
        <w:rPr>
          <w:rFonts w:eastAsia="Times New Roman" w:cs="Times New Roman"/>
          <w:color w:val="000000"/>
          <w:sz w:val="24"/>
          <w:szCs w:val="24"/>
        </w:rPr>
        <w:t xml:space="preserve">, would be to provide that heirs inherit assets with a “carryover basis,” </w:t>
      </w:r>
      <w:r w:rsidR="002945F7">
        <w:rPr>
          <w:rFonts w:eastAsia="Times New Roman" w:cs="Times New Roman"/>
          <w:color w:val="000000"/>
          <w:sz w:val="24"/>
          <w:szCs w:val="24"/>
        </w:rPr>
        <w:t xml:space="preserve">so that </w:t>
      </w:r>
      <w:r>
        <w:rPr>
          <w:rFonts w:eastAsia="Times New Roman" w:cs="Times New Roman"/>
          <w:color w:val="000000"/>
          <w:sz w:val="24"/>
          <w:szCs w:val="24"/>
        </w:rPr>
        <w:t>that untaxed appreciation is subject to capital gains tax when they sell assets.</w:t>
      </w:r>
    </w:p>
    <w:p w:rsidR="002945F7" w:rsidRDefault="002945F7" w:rsidP="00B572B4">
      <w:pPr>
        <w:spacing w:after="0" w:line="240" w:lineRule="auto"/>
        <w:ind w:left="720"/>
        <w:rPr>
          <w:rFonts w:eastAsia="Times" w:cs="Calibri"/>
          <w:sz w:val="24"/>
          <w:szCs w:val="24"/>
          <w:u w:val="single"/>
        </w:rPr>
      </w:pPr>
    </w:p>
    <w:p w:rsidR="00211935" w:rsidRPr="00466F51" w:rsidRDefault="00211935" w:rsidP="00211935">
      <w:pPr>
        <w:spacing w:after="0" w:line="240" w:lineRule="auto"/>
        <w:ind w:left="720"/>
        <w:rPr>
          <w:rFonts w:eastAsia="Times" w:cs="Calibri"/>
          <w:sz w:val="24"/>
          <w:szCs w:val="24"/>
          <w:u w:val="single"/>
        </w:rPr>
      </w:pPr>
      <w:r w:rsidRPr="00D814E8">
        <w:rPr>
          <w:rFonts w:ascii="Calibri" w:eastAsia="Times" w:hAnsi="Calibri" w:cs="Calibri"/>
          <w:b/>
          <w:color w:val="0477AE"/>
          <w:sz w:val="24"/>
          <w:szCs w:val="24"/>
        </w:rPr>
        <w:t>Public opinion on this tax reform option</w:t>
      </w:r>
    </w:p>
    <w:p w:rsidR="002945F7" w:rsidRDefault="00B572B4" w:rsidP="00B572B4">
      <w:pPr>
        <w:spacing w:after="0" w:line="240" w:lineRule="auto"/>
        <w:ind w:left="720"/>
        <w:rPr>
          <w:rFonts w:eastAsia="Times" w:cs="Calibri"/>
          <w:sz w:val="24"/>
          <w:szCs w:val="24"/>
          <w:u w:val="single"/>
        </w:rPr>
      </w:pPr>
      <w:r w:rsidRPr="0023786B">
        <w:rPr>
          <w:rFonts w:eastAsia="Times" w:cs="Calibri"/>
          <w:sz w:val="24"/>
          <w:szCs w:val="24"/>
        </w:rPr>
        <w:t>By</w:t>
      </w:r>
      <w:r w:rsidRPr="007128D9">
        <w:rPr>
          <w:rFonts w:eastAsia="Times" w:cs="Calibri"/>
          <w:sz w:val="24"/>
          <w:szCs w:val="24"/>
        </w:rPr>
        <w:t xml:space="preserve"> a margin of 60% to 35%, voters want to “</w:t>
      </w:r>
      <w:r>
        <w:rPr>
          <w:rFonts w:eastAsia="Times" w:cs="Calibri"/>
          <w:sz w:val="24"/>
          <w:szCs w:val="24"/>
        </w:rPr>
        <w:t>E</w:t>
      </w:r>
      <w:r w:rsidRPr="007128D9">
        <w:rPr>
          <w:rFonts w:eastAsia="Times" w:cs="Calibri"/>
          <w:sz w:val="24"/>
          <w:szCs w:val="24"/>
        </w:rPr>
        <w:t>liminate the loophole that allows wealthy</w:t>
      </w:r>
      <w:r>
        <w:rPr>
          <w:rFonts w:eastAsia="Times" w:cs="Calibri"/>
          <w:sz w:val="24"/>
          <w:szCs w:val="24"/>
        </w:rPr>
        <w:t xml:space="preserve"> </w:t>
      </w:r>
      <w:r w:rsidRPr="007128D9">
        <w:rPr>
          <w:rFonts w:eastAsia="Times" w:cs="Calibri"/>
          <w:sz w:val="24"/>
          <w:szCs w:val="24"/>
        </w:rPr>
        <w:t>families to avoid paying any capital gains taxes on stocks and bonds that they inherit.”</w:t>
      </w:r>
    </w:p>
    <w:p w:rsidR="00C250AC" w:rsidRDefault="0058300F" w:rsidP="00C250AC">
      <w:pPr>
        <w:autoSpaceDE w:val="0"/>
        <w:autoSpaceDN w:val="0"/>
        <w:adjustRightInd w:val="0"/>
        <w:spacing w:after="0" w:line="240" w:lineRule="auto"/>
        <w:ind w:left="720"/>
        <w:rPr>
          <w:rFonts w:cs="Calibri"/>
          <w:sz w:val="24"/>
          <w:szCs w:val="24"/>
        </w:rPr>
      </w:pPr>
      <w:hyperlink r:id="rId19" w:history="1">
        <w:r w:rsidR="00C250AC" w:rsidRPr="00A220E7">
          <w:rPr>
            <w:rStyle w:val="Hyperlink"/>
            <w:rFonts w:cs="Calibri"/>
            <w:sz w:val="24"/>
            <w:szCs w:val="24"/>
          </w:rPr>
          <w:t>Hart Research Associates Poll</w:t>
        </w:r>
      </w:hyperlink>
      <w:r w:rsidR="00C250AC" w:rsidRPr="00B6104F">
        <w:rPr>
          <w:rFonts w:cs="Calibri"/>
          <w:sz w:val="24"/>
          <w:szCs w:val="24"/>
        </w:rPr>
        <w:t xml:space="preserve">, Jan. 18-22, 2013, </w:t>
      </w:r>
      <w:r w:rsidR="00C250AC">
        <w:rPr>
          <w:rFonts w:cs="Calibri"/>
          <w:sz w:val="24"/>
          <w:szCs w:val="24"/>
        </w:rPr>
        <w:t xml:space="preserve">Q. </w:t>
      </w:r>
      <w:r w:rsidR="00C250AC" w:rsidRPr="00B6104F">
        <w:rPr>
          <w:rFonts w:cs="Calibri"/>
          <w:sz w:val="24"/>
          <w:szCs w:val="24"/>
        </w:rPr>
        <w:t>12</w:t>
      </w:r>
    </w:p>
    <w:p w:rsidR="000474F7" w:rsidRPr="00994105" w:rsidRDefault="000474F7" w:rsidP="00B572B4">
      <w:pPr>
        <w:spacing w:after="0" w:line="240" w:lineRule="auto"/>
        <w:ind w:left="720"/>
        <w:rPr>
          <w:rFonts w:eastAsia="Times" w:cs="Calibri"/>
          <w:sz w:val="24"/>
          <w:szCs w:val="24"/>
          <w:u w:val="single"/>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lastRenderedPageBreak/>
        <w:t xml:space="preserve">Tax Capital Gains and Dividends </w:t>
      </w:r>
      <w:r w:rsidR="002945F7">
        <w:rPr>
          <w:rFonts w:ascii="Calibri" w:eastAsia="Times" w:hAnsi="Calibri" w:cs="Calibri"/>
          <w:b/>
          <w:color w:val="0477AE"/>
          <w:sz w:val="24"/>
          <w:szCs w:val="24"/>
        </w:rPr>
        <w:t xml:space="preserve">of the Richest 2% </w:t>
      </w:r>
      <w:r w:rsidRPr="00C66723">
        <w:rPr>
          <w:rFonts w:ascii="Calibri" w:eastAsia="Times" w:hAnsi="Calibri" w:cs="Calibri"/>
          <w:b/>
          <w:color w:val="0477AE"/>
          <w:sz w:val="24"/>
          <w:szCs w:val="24"/>
        </w:rPr>
        <w:t xml:space="preserve">at the </w:t>
      </w:r>
      <w:r w:rsidR="00B0658E">
        <w:rPr>
          <w:rFonts w:ascii="Calibri" w:eastAsia="Times" w:hAnsi="Calibri" w:cs="Calibri"/>
          <w:b/>
          <w:color w:val="0477AE"/>
          <w:sz w:val="24"/>
          <w:szCs w:val="24"/>
        </w:rPr>
        <w:t xml:space="preserve">Same Rate as </w:t>
      </w:r>
      <w:r w:rsidRPr="00C66723">
        <w:rPr>
          <w:rFonts w:ascii="Calibri" w:eastAsia="Times" w:hAnsi="Calibri" w:cs="Calibri"/>
          <w:b/>
          <w:color w:val="0477AE"/>
          <w:sz w:val="24"/>
          <w:szCs w:val="24"/>
        </w:rPr>
        <w:t xml:space="preserve">Ordinary Income </w:t>
      </w:r>
    </w:p>
    <w:p w:rsidR="00B572B4" w:rsidRPr="00C66723" w:rsidRDefault="00B572B4"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Revenue: </w:t>
      </w:r>
      <w:r w:rsidRPr="00C66723" w:rsidDel="00840D77">
        <w:rPr>
          <w:rFonts w:ascii="Calibri" w:eastAsia="Times" w:hAnsi="Calibri" w:cs="Calibri"/>
          <w:b/>
          <w:color w:val="0477AE"/>
          <w:sz w:val="24"/>
          <w:szCs w:val="24"/>
        </w:rPr>
        <w:t xml:space="preserve"> </w:t>
      </w:r>
      <w:r w:rsidRPr="00C66723">
        <w:rPr>
          <w:rFonts w:ascii="Calibri" w:eastAsia="Times" w:hAnsi="Calibri" w:cs="Calibri"/>
          <w:b/>
          <w:color w:val="0477AE"/>
          <w:sz w:val="24"/>
          <w:szCs w:val="24"/>
        </w:rPr>
        <w:t xml:space="preserve">About $500 billion over 10 years; Citizens for Tax Justice </w:t>
      </w:r>
    </w:p>
    <w:p w:rsidR="00B572B4" w:rsidRDefault="00B572B4" w:rsidP="00B572B4">
      <w:pPr>
        <w:pStyle w:val="ListParagraph"/>
        <w:spacing w:line="240" w:lineRule="auto"/>
        <w:rPr>
          <w:rFonts w:eastAsia="Times New Roman" w:cs="Times New Roman"/>
          <w:b/>
          <w:sz w:val="24"/>
          <w:szCs w:val="24"/>
        </w:rPr>
      </w:pPr>
    </w:p>
    <w:p w:rsidR="00B572B4" w:rsidRDefault="00B572B4" w:rsidP="00B572B4">
      <w:pPr>
        <w:pStyle w:val="ListParagraph"/>
        <w:spacing w:after="0" w:line="240" w:lineRule="auto"/>
        <w:rPr>
          <w:rFonts w:cs="Calibri"/>
          <w:sz w:val="24"/>
          <w:szCs w:val="24"/>
        </w:rPr>
      </w:pPr>
      <w:r>
        <w:rPr>
          <w:rFonts w:cs="Calibri"/>
          <w:sz w:val="24"/>
          <w:szCs w:val="24"/>
        </w:rPr>
        <w:t xml:space="preserve">The reason very wealthy Americans like Warren Buffett and Mitt Romney pay a lower tax rate than millions of middle-class Americans is </w:t>
      </w:r>
      <w:r w:rsidR="006B4430">
        <w:rPr>
          <w:rFonts w:cs="Calibri"/>
          <w:sz w:val="24"/>
          <w:szCs w:val="24"/>
        </w:rPr>
        <w:t xml:space="preserve">that </w:t>
      </w:r>
      <w:r>
        <w:rPr>
          <w:rFonts w:cs="Calibri"/>
          <w:sz w:val="24"/>
          <w:szCs w:val="24"/>
        </w:rPr>
        <w:t xml:space="preserve">most of their income is from selling assets like stocks and bonds, and from dividends, all of which are taxed at a special low 23.8 percent rate for people in the highest tax bracket, as opposed to the new top rate of 39.6 percent on income from work. This income from investments is also exempt from Social Security payroll taxes that working people pay on their wages. Workers who get most of their earnings from salaries or wages often pay a higher tax rate than the rich, especially when payroll taxes are included. </w:t>
      </w:r>
    </w:p>
    <w:p w:rsidR="00B572B4" w:rsidRDefault="00B572B4" w:rsidP="00B572B4">
      <w:pPr>
        <w:pStyle w:val="ListParagraph"/>
        <w:spacing w:after="0" w:line="240" w:lineRule="auto"/>
        <w:rPr>
          <w:rFonts w:cs="Calibri"/>
          <w:sz w:val="24"/>
          <w:szCs w:val="24"/>
        </w:rPr>
      </w:pPr>
    </w:p>
    <w:p w:rsidR="00B572B4" w:rsidRPr="00714C45" w:rsidRDefault="00B572B4" w:rsidP="00B572B4">
      <w:pPr>
        <w:pStyle w:val="ListParagraph"/>
        <w:spacing w:after="0" w:line="240" w:lineRule="auto"/>
        <w:rPr>
          <w:rFonts w:cs="Calibri"/>
          <w:sz w:val="24"/>
          <w:szCs w:val="24"/>
        </w:rPr>
      </w:pPr>
      <w:r>
        <w:rPr>
          <w:rFonts w:cs="Calibri"/>
          <w:sz w:val="24"/>
          <w:szCs w:val="24"/>
        </w:rPr>
        <w:t xml:space="preserve">These special low tax rates promote inequality and </w:t>
      </w:r>
      <w:r w:rsidRPr="00D86D10">
        <w:rPr>
          <w:rFonts w:cs="Calibri"/>
          <w:sz w:val="24"/>
          <w:szCs w:val="24"/>
        </w:rPr>
        <w:t>divert resources to unproductive tax shelters that would never exist but for the tax benefits.</w:t>
      </w:r>
      <w:r>
        <w:rPr>
          <w:rFonts w:cs="Calibri"/>
          <w:sz w:val="24"/>
          <w:szCs w:val="24"/>
        </w:rPr>
        <w:t xml:space="preserve"> Capital gains income from stocks and bonds overwhelmingly goes to the wealthiest taxpayers. </w:t>
      </w:r>
      <w:r w:rsidRPr="0022405E">
        <w:rPr>
          <w:rFonts w:cs="Calibri"/>
          <w:sz w:val="24"/>
          <w:szCs w:val="24"/>
        </w:rPr>
        <w:t xml:space="preserve">The </w:t>
      </w:r>
      <w:r>
        <w:rPr>
          <w:rFonts w:cs="Calibri"/>
          <w:sz w:val="24"/>
          <w:szCs w:val="24"/>
        </w:rPr>
        <w:t xml:space="preserve">richest </w:t>
      </w:r>
      <w:r w:rsidRPr="0022405E">
        <w:rPr>
          <w:rFonts w:cs="Calibri"/>
          <w:sz w:val="24"/>
          <w:szCs w:val="24"/>
        </w:rPr>
        <w:t xml:space="preserve">1 percent of taxpayers </w:t>
      </w:r>
      <w:r>
        <w:rPr>
          <w:rFonts w:cs="Calibri"/>
          <w:sz w:val="24"/>
          <w:szCs w:val="24"/>
        </w:rPr>
        <w:t xml:space="preserve">receive </w:t>
      </w:r>
      <w:r w:rsidRPr="0022405E">
        <w:rPr>
          <w:rFonts w:cs="Calibri"/>
          <w:sz w:val="24"/>
          <w:szCs w:val="24"/>
        </w:rPr>
        <w:t xml:space="preserve">71 percent of all capital gains, while the bottom 80 percent only </w:t>
      </w:r>
      <w:r>
        <w:rPr>
          <w:rFonts w:cs="Calibri"/>
          <w:sz w:val="24"/>
          <w:szCs w:val="24"/>
        </w:rPr>
        <w:t xml:space="preserve">get </w:t>
      </w:r>
      <w:r w:rsidR="00F57F34">
        <w:rPr>
          <w:rFonts w:cs="Calibri"/>
          <w:sz w:val="24"/>
          <w:szCs w:val="24"/>
        </w:rPr>
        <w:t>6</w:t>
      </w:r>
      <w:r w:rsidR="00F57F34" w:rsidRPr="0022405E">
        <w:rPr>
          <w:rFonts w:cs="Calibri"/>
          <w:sz w:val="24"/>
          <w:szCs w:val="24"/>
        </w:rPr>
        <w:t xml:space="preserve"> </w:t>
      </w:r>
      <w:r w:rsidRPr="0022405E">
        <w:rPr>
          <w:rFonts w:cs="Calibri"/>
          <w:sz w:val="24"/>
          <w:szCs w:val="24"/>
        </w:rPr>
        <w:t>percent of all capital gains</w:t>
      </w:r>
      <w:r>
        <w:rPr>
          <w:rFonts w:cs="Calibri"/>
          <w:sz w:val="24"/>
          <w:szCs w:val="24"/>
        </w:rPr>
        <w:t>, according to the Tax Policy Center</w:t>
      </w:r>
      <w:r w:rsidRPr="0022405E">
        <w:rPr>
          <w:rFonts w:cs="Calibri"/>
          <w:sz w:val="24"/>
          <w:szCs w:val="24"/>
        </w:rPr>
        <w:t>.</w:t>
      </w:r>
      <w:r>
        <w:rPr>
          <w:rStyle w:val="EndnoteReference"/>
          <w:rFonts w:cs="Calibri"/>
          <w:sz w:val="24"/>
          <w:szCs w:val="24"/>
        </w:rPr>
        <w:endnoteReference w:id="27"/>
      </w:r>
      <w:r>
        <w:rPr>
          <w:rFonts w:cs="Calibri"/>
          <w:sz w:val="24"/>
          <w:szCs w:val="24"/>
        </w:rPr>
        <w:t xml:space="preserve"> </w:t>
      </w:r>
      <w:r w:rsidR="004E5B1E">
        <w:rPr>
          <w:rFonts w:cs="Calibri"/>
          <w:sz w:val="24"/>
          <w:szCs w:val="24"/>
        </w:rPr>
        <w:t>Income from d</w:t>
      </w:r>
      <w:r w:rsidRPr="00714C45">
        <w:rPr>
          <w:rFonts w:cs="Calibri"/>
          <w:sz w:val="24"/>
          <w:szCs w:val="24"/>
        </w:rPr>
        <w:t>ividend</w:t>
      </w:r>
      <w:r w:rsidR="004E5B1E">
        <w:rPr>
          <w:rFonts w:cs="Calibri"/>
          <w:sz w:val="24"/>
          <w:szCs w:val="24"/>
        </w:rPr>
        <w:t>s is</w:t>
      </w:r>
      <w:r w:rsidRPr="00714C45">
        <w:rPr>
          <w:rFonts w:cs="Calibri"/>
          <w:sz w:val="24"/>
          <w:szCs w:val="24"/>
        </w:rPr>
        <w:t xml:space="preserve"> also heavily skewed to the wealthy</w:t>
      </w:r>
      <w:r>
        <w:rPr>
          <w:rFonts w:cs="Calibri"/>
          <w:sz w:val="24"/>
          <w:szCs w:val="24"/>
        </w:rPr>
        <w:t xml:space="preserve">, with </w:t>
      </w:r>
      <w:r w:rsidRPr="00714C45">
        <w:rPr>
          <w:rFonts w:cs="Calibri"/>
          <w:sz w:val="24"/>
          <w:szCs w:val="24"/>
        </w:rPr>
        <w:t>the richest 5 percent of taxpayers receiv</w:t>
      </w:r>
      <w:r>
        <w:rPr>
          <w:rFonts w:cs="Calibri"/>
          <w:sz w:val="24"/>
          <w:szCs w:val="24"/>
        </w:rPr>
        <w:t>ing</w:t>
      </w:r>
      <w:r w:rsidRPr="00714C45">
        <w:rPr>
          <w:rFonts w:cs="Calibri"/>
          <w:sz w:val="24"/>
          <w:szCs w:val="24"/>
        </w:rPr>
        <w:t xml:space="preserve"> 6</w:t>
      </w:r>
      <w:r w:rsidR="000474F7">
        <w:rPr>
          <w:rFonts w:cs="Calibri"/>
          <w:sz w:val="24"/>
          <w:szCs w:val="24"/>
        </w:rPr>
        <w:t>8</w:t>
      </w:r>
      <w:r w:rsidRPr="00714C45">
        <w:rPr>
          <w:rFonts w:cs="Calibri"/>
          <w:sz w:val="24"/>
          <w:szCs w:val="24"/>
        </w:rPr>
        <w:t xml:space="preserve"> percent of stock dividends </w:t>
      </w:r>
      <w:r>
        <w:rPr>
          <w:rFonts w:cs="Calibri"/>
          <w:sz w:val="24"/>
          <w:szCs w:val="24"/>
        </w:rPr>
        <w:t xml:space="preserve">compared with 17 percent for the </w:t>
      </w:r>
      <w:r w:rsidRPr="00714C45">
        <w:rPr>
          <w:rFonts w:cs="Calibri"/>
          <w:sz w:val="24"/>
          <w:szCs w:val="24"/>
        </w:rPr>
        <w:t>bottom four-fifths of taxpayers.</w:t>
      </w:r>
      <w:r>
        <w:rPr>
          <w:rStyle w:val="EndnoteReference"/>
          <w:sz w:val="24"/>
          <w:szCs w:val="24"/>
        </w:rPr>
        <w:endnoteReference w:id="28"/>
      </w:r>
      <w:r>
        <w:rPr>
          <w:rFonts w:cs="Calibri"/>
          <w:sz w:val="24"/>
          <w:szCs w:val="24"/>
        </w:rPr>
        <w:t xml:space="preserve"> Even among the elderly, capital gains and dividend income is highly concentrated at the top. </w:t>
      </w:r>
      <w:r w:rsidRPr="00714C45">
        <w:rPr>
          <w:rFonts w:cs="Calibri"/>
          <w:sz w:val="24"/>
          <w:szCs w:val="24"/>
        </w:rPr>
        <w:t xml:space="preserve">  </w:t>
      </w:r>
    </w:p>
    <w:p w:rsidR="00B572B4" w:rsidRDefault="00B572B4" w:rsidP="00B572B4">
      <w:pPr>
        <w:pStyle w:val="ListParagraph"/>
        <w:spacing w:after="0" w:line="240" w:lineRule="auto"/>
        <w:rPr>
          <w:rFonts w:cs="Calibri"/>
          <w:sz w:val="24"/>
          <w:szCs w:val="24"/>
        </w:rPr>
      </w:pPr>
    </w:p>
    <w:p w:rsidR="00B572B4" w:rsidRDefault="00B572B4" w:rsidP="00B572B4">
      <w:pPr>
        <w:pStyle w:val="ListParagraph"/>
        <w:spacing w:after="0" w:line="240" w:lineRule="auto"/>
        <w:rPr>
          <w:rFonts w:cs="Calibri"/>
          <w:sz w:val="24"/>
          <w:szCs w:val="24"/>
        </w:rPr>
      </w:pPr>
      <w:r>
        <w:rPr>
          <w:rFonts w:cs="Calibri"/>
          <w:sz w:val="24"/>
          <w:szCs w:val="24"/>
        </w:rPr>
        <w:t>Taxing capital gains and dividends at the same rates as other income is the fairest solution. Ronald Reagan signed such a measure into law in 1986.</w:t>
      </w:r>
      <w:r>
        <w:rPr>
          <w:rStyle w:val="EndnoteReference"/>
          <w:sz w:val="24"/>
          <w:szCs w:val="24"/>
        </w:rPr>
        <w:endnoteReference w:id="29"/>
      </w:r>
      <w:r>
        <w:rPr>
          <w:rFonts w:cs="Calibri"/>
          <w:sz w:val="24"/>
          <w:szCs w:val="24"/>
        </w:rPr>
        <w:t xml:space="preserve"> However, the rates for capital gains and other types of income diverged again in the 1990s and in 2003, when tax cuts enacted under President George W. Bush lowered the top capital gains rate from 20 percent to 15 percent and lowered the tax rate for corporate stock dividends to 15 percent, from the ordinary income tax rate. </w:t>
      </w:r>
    </w:p>
    <w:p w:rsidR="00B572B4" w:rsidRDefault="00B572B4" w:rsidP="00B572B4">
      <w:pPr>
        <w:pStyle w:val="ListParagraph"/>
        <w:spacing w:after="0" w:line="240" w:lineRule="auto"/>
        <w:rPr>
          <w:rFonts w:cs="Calibri"/>
          <w:sz w:val="24"/>
          <w:szCs w:val="24"/>
        </w:rPr>
      </w:pPr>
    </w:p>
    <w:p w:rsidR="00B572B4" w:rsidRDefault="00B572B4" w:rsidP="00B572B4">
      <w:pPr>
        <w:pStyle w:val="ListParagraph"/>
        <w:spacing w:after="0" w:line="240" w:lineRule="auto"/>
        <w:rPr>
          <w:rFonts w:cs="Calibri"/>
          <w:sz w:val="24"/>
          <w:szCs w:val="24"/>
        </w:rPr>
      </w:pPr>
      <w:r>
        <w:rPr>
          <w:rFonts w:cs="Calibri"/>
          <w:sz w:val="24"/>
          <w:szCs w:val="24"/>
        </w:rPr>
        <w:t xml:space="preserve">Under the fiscal-cliff deal passed in January 2013, known as the American Taxpayer Relief Act, the top capital gains tax rate and dividends rate will rise to 20 percent for couples with income above $450,000 ($400,000 for individuals).  An additional 3.8 percent tax on net investment income, enacted as part of the Affordable Care Act in 2010, will apply to couples with income above $250,000 ($200,000 for individuals).  More than half of the revenue raised by this additional 3.8 percent tax – $123 billion from 2013 to 2019 – will come from the top 0.1 percent of taxpayers and 86 percent will come from the top </w:t>
      </w:r>
      <w:r w:rsidR="004E5B1E">
        <w:rPr>
          <w:rFonts w:cs="Calibri"/>
          <w:sz w:val="24"/>
          <w:szCs w:val="24"/>
        </w:rPr>
        <w:t xml:space="preserve">1 </w:t>
      </w:r>
      <w:r>
        <w:rPr>
          <w:rFonts w:cs="Calibri"/>
          <w:sz w:val="24"/>
          <w:szCs w:val="24"/>
        </w:rPr>
        <w:t>percent.</w:t>
      </w:r>
      <w:r>
        <w:rPr>
          <w:rStyle w:val="EndnoteReference"/>
          <w:sz w:val="24"/>
          <w:szCs w:val="24"/>
        </w:rPr>
        <w:endnoteReference w:id="30"/>
      </w:r>
      <w:r>
        <w:rPr>
          <w:rFonts w:cs="Calibri"/>
          <w:sz w:val="24"/>
          <w:szCs w:val="24"/>
        </w:rPr>
        <w:t xml:space="preserve"> </w:t>
      </w:r>
    </w:p>
    <w:p w:rsidR="00B572B4" w:rsidRDefault="00B572B4" w:rsidP="00B572B4">
      <w:pPr>
        <w:pStyle w:val="ListParagraph"/>
        <w:spacing w:after="0" w:line="240" w:lineRule="auto"/>
        <w:rPr>
          <w:rFonts w:cs="Calibri"/>
          <w:sz w:val="24"/>
          <w:szCs w:val="24"/>
        </w:rPr>
      </w:pPr>
    </w:p>
    <w:p w:rsidR="00B572B4" w:rsidRPr="009B2F41" w:rsidRDefault="00B572B4" w:rsidP="00B572B4">
      <w:pPr>
        <w:pStyle w:val="ListParagraph"/>
        <w:spacing w:after="0" w:line="240" w:lineRule="auto"/>
        <w:rPr>
          <w:rFonts w:cs="Calibri"/>
          <w:sz w:val="24"/>
          <w:szCs w:val="24"/>
        </w:rPr>
      </w:pPr>
      <w:r>
        <w:rPr>
          <w:rFonts w:cs="Calibri"/>
          <w:sz w:val="24"/>
          <w:szCs w:val="24"/>
        </w:rPr>
        <w:t xml:space="preserve">Congress should go even further and tax capital gains and dividends at the ordinary income tax rates for the richest 2 percent.  Although revenue estimates for this proposal are not available, a rough comparison with the revenue raised over a shorter period by the smaller 3.8 percent tax </w:t>
      </w:r>
      <w:r w:rsidR="00A5509A">
        <w:rPr>
          <w:rFonts w:cs="Calibri"/>
          <w:sz w:val="24"/>
          <w:szCs w:val="24"/>
        </w:rPr>
        <w:t xml:space="preserve">and earlier estimates of the revenue raised from taxing </w:t>
      </w:r>
      <w:r w:rsidR="00A5509A">
        <w:rPr>
          <w:rFonts w:cs="Calibri"/>
          <w:sz w:val="24"/>
          <w:szCs w:val="24"/>
        </w:rPr>
        <w:lastRenderedPageBreak/>
        <w:t xml:space="preserve">capital gains as ordinary income (assuming dividends were already being taxed the same as ordinary income) </w:t>
      </w:r>
      <w:r>
        <w:rPr>
          <w:rFonts w:cs="Calibri"/>
          <w:sz w:val="24"/>
          <w:szCs w:val="24"/>
        </w:rPr>
        <w:t xml:space="preserve">shows that </w:t>
      </w:r>
      <w:r w:rsidRPr="00A66D3D">
        <w:rPr>
          <w:rFonts w:cs="Calibri"/>
          <w:sz w:val="24"/>
          <w:szCs w:val="24"/>
        </w:rPr>
        <w:t>it should raise at least $500 billion over 10 years.</w:t>
      </w:r>
      <w:r>
        <w:rPr>
          <w:rStyle w:val="EndnoteReference"/>
          <w:sz w:val="24"/>
          <w:szCs w:val="24"/>
        </w:rPr>
        <w:endnoteReference w:id="31"/>
      </w:r>
    </w:p>
    <w:p w:rsidR="00B572B4" w:rsidRDefault="00B572B4" w:rsidP="00B572B4">
      <w:pPr>
        <w:spacing w:after="0" w:line="240" w:lineRule="auto"/>
        <w:ind w:left="720"/>
        <w:rPr>
          <w:rFonts w:eastAsia="Times" w:cs="Calibri"/>
          <w:sz w:val="24"/>
          <w:szCs w:val="24"/>
          <w:u w:val="single"/>
        </w:rPr>
      </w:pPr>
    </w:p>
    <w:p w:rsidR="00B572B4" w:rsidRPr="00466F51" w:rsidRDefault="00B572B4" w:rsidP="00B572B4">
      <w:pPr>
        <w:spacing w:after="0" w:line="240" w:lineRule="auto"/>
        <w:ind w:left="720"/>
        <w:rPr>
          <w:rFonts w:eastAsia="Times" w:cs="Calibri"/>
          <w:sz w:val="24"/>
          <w:szCs w:val="24"/>
          <w:u w:val="single"/>
        </w:rPr>
      </w:pPr>
      <w:r w:rsidRPr="00D814E8">
        <w:rPr>
          <w:rFonts w:ascii="Calibri" w:eastAsia="Times" w:hAnsi="Calibri" w:cs="Calibri"/>
          <w:b/>
          <w:color w:val="0477AE"/>
          <w:sz w:val="24"/>
          <w:szCs w:val="24"/>
        </w:rPr>
        <w:t>Public opinion on this tax reform option</w:t>
      </w:r>
    </w:p>
    <w:p w:rsidR="00B572B4" w:rsidRPr="00512B80" w:rsidRDefault="00B572B4" w:rsidP="00B572B4">
      <w:pPr>
        <w:pStyle w:val="ListParagraph"/>
        <w:numPr>
          <w:ilvl w:val="0"/>
          <w:numId w:val="12"/>
        </w:numPr>
        <w:autoSpaceDE w:val="0"/>
        <w:autoSpaceDN w:val="0"/>
        <w:adjustRightInd w:val="0"/>
        <w:spacing w:after="0" w:line="240" w:lineRule="auto"/>
        <w:ind w:left="1080"/>
        <w:rPr>
          <w:rFonts w:eastAsia="Times" w:cs="Calibri"/>
          <w:sz w:val="24"/>
          <w:szCs w:val="24"/>
        </w:rPr>
      </w:pPr>
      <w:r w:rsidRPr="00512B80">
        <w:rPr>
          <w:rFonts w:eastAsia="Times" w:cs="Calibri"/>
          <w:sz w:val="24"/>
          <w:szCs w:val="24"/>
        </w:rPr>
        <w:t xml:space="preserve">By a margin of 52% to 36%, voters </w:t>
      </w:r>
      <w:r w:rsidR="00F6044D">
        <w:rPr>
          <w:rFonts w:eastAsia="Times" w:cs="Calibri"/>
          <w:sz w:val="24"/>
          <w:szCs w:val="24"/>
        </w:rPr>
        <w:t xml:space="preserve">support a proposal </w:t>
      </w:r>
      <w:r w:rsidR="003867AC">
        <w:rPr>
          <w:rFonts w:eastAsia="Times" w:cs="Calibri"/>
          <w:sz w:val="24"/>
          <w:szCs w:val="24"/>
        </w:rPr>
        <w:t xml:space="preserve">that would </w:t>
      </w:r>
      <w:r w:rsidRPr="00512B80">
        <w:rPr>
          <w:rFonts w:eastAsia="Times" w:cs="Calibri"/>
          <w:sz w:val="24"/>
          <w:szCs w:val="24"/>
        </w:rPr>
        <w:t>“</w:t>
      </w:r>
      <w:r w:rsidRPr="00512B80">
        <w:rPr>
          <w:rFonts w:cs="Helvetica"/>
          <w:sz w:val="24"/>
          <w:szCs w:val="24"/>
        </w:rPr>
        <w:t>For those making over two hundred fifty thousand dollars, end the lower tax rate on income from selling stocks and other assets</w:t>
      </w:r>
      <w:r w:rsidRPr="00512B80">
        <w:rPr>
          <w:rFonts w:eastAsia="Times" w:cs="Calibri"/>
          <w:sz w:val="24"/>
          <w:szCs w:val="24"/>
        </w:rPr>
        <w:t>.”</w:t>
      </w:r>
    </w:p>
    <w:p w:rsidR="00B572B4" w:rsidRPr="00512B80" w:rsidRDefault="00B572B4" w:rsidP="00DB690C">
      <w:pPr>
        <w:pStyle w:val="ListParagraph"/>
        <w:numPr>
          <w:ilvl w:val="0"/>
          <w:numId w:val="12"/>
        </w:numPr>
        <w:autoSpaceDE w:val="0"/>
        <w:autoSpaceDN w:val="0"/>
        <w:adjustRightInd w:val="0"/>
        <w:spacing w:after="0" w:line="240" w:lineRule="auto"/>
        <w:ind w:left="1080"/>
        <w:rPr>
          <w:rFonts w:cs="Helvetica"/>
          <w:sz w:val="24"/>
          <w:szCs w:val="24"/>
        </w:rPr>
      </w:pPr>
      <w:r w:rsidRPr="00512B80">
        <w:rPr>
          <w:rFonts w:eastAsia="Times" w:cs="Calibri"/>
          <w:sz w:val="24"/>
          <w:szCs w:val="24"/>
        </w:rPr>
        <w:t xml:space="preserve">By a margin of </w:t>
      </w:r>
      <w:r>
        <w:rPr>
          <w:rFonts w:eastAsia="Times" w:cs="Calibri"/>
          <w:sz w:val="24"/>
          <w:szCs w:val="24"/>
        </w:rPr>
        <w:t>48</w:t>
      </w:r>
      <w:r w:rsidRPr="00512B80">
        <w:rPr>
          <w:rFonts w:eastAsia="Times" w:cs="Calibri"/>
          <w:sz w:val="24"/>
          <w:szCs w:val="24"/>
        </w:rPr>
        <w:t>% to 3</w:t>
      </w:r>
      <w:r>
        <w:rPr>
          <w:rFonts w:eastAsia="Times" w:cs="Calibri"/>
          <w:sz w:val="24"/>
          <w:szCs w:val="24"/>
        </w:rPr>
        <w:t>9</w:t>
      </w:r>
      <w:r w:rsidRPr="00512B80">
        <w:rPr>
          <w:rFonts w:eastAsia="Times" w:cs="Calibri"/>
          <w:sz w:val="24"/>
          <w:szCs w:val="24"/>
        </w:rPr>
        <w:t xml:space="preserve">%, voters </w:t>
      </w:r>
      <w:r w:rsidR="003867AC">
        <w:rPr>
          <w:rFonts w:eastAsia="Times" w:cs="Calibri"/>
          <w:sz w:val="24"/>
          <w:szCs w:val="24"/>
        </w:rPr>
        <w:t xml:space="preserve">support a proposal that would </w:t>
      </w:r>
      <w:r w:rsidRPr="00512B80">
        <w:rPr>
          <w:rFonts w:eastAsia="Times" w:cs="Calibri"/>
          <w:sz w:val="24"/>
          <w:szCs w:val="24"/>
        </w:rPr>
        <w:t>“</w:t>
      </w:r>
      <w:r w:rsidRPr="00512B80">
        <w:rPr>
          <w:rFonts w:cs="Helvetica"/>
          <w:sz w:val="24"/>
          <w:szCs w:val="24"/>
        </w:rPr>
        <w:t>For those making over two hundred fifty thousand dollars, end the lower tax rate on</w:t>
      </w:r>
      <w:r>
        <w:rPr>
          <w:rFonts w:cs="Helvetica"/>
          <w:sz w:val="24"/>
          <w:szCs w:val="24"/>
        </w:rPr>
        <w:t xml:space="preserve"> </w:t>
      </w:r>
      <w:r w:rsidRPr="00512B80">
        <w:rPr>
          <w:rFonts w:cs="Helvetica"/>
          <w:sz w:val="24"/>
          <w:szCs w:val="24"/>
        </w:rPr>
        <w:t>dividend income from stocks</w:t>
      </w:r>
      <w:r>
        <w:rPr>
          <w:rFonts w:cs="Helvetica"/>
          <w:sz w:val="24"/>
          <w:szCs w:val="24"/>
        </w:rPr>
        <w:t>.”</w:t>
      </w:r>
    </w:p>
    <w:p w:rsidR="00C250AC" w:rsidRPr="00C250AC" w:rsidRDefault="0058300F" w:rsidP="009779A6">
      <w:pPr>
        <w:pStyle w:val="ListParagraph"/>
        <w:autoSpaceDE w:val="0"/>
        <w:autoSpaceDN w:val="0"/>
        <w:adjustRightInd w:val="0"/>
        <w:spacing w:after="0" w:line="240" w:lineRule="auto"/>
        <w:ind w:left="1080"/>
        <w:rPr>
          <w:rFonts w:cs="Calibri"/>
          <w:sz w:val="24"/>
          <w:szCs w:val="24"/>
        </w:rPr>
      </w:pPr>
      <w:hyperlink r:id="rId20" w:history="1">
        <w:r w:rsidR="00C250AC" w:rsidRPr="00C250AC">
          <w:rPr>
            <w:rStyle w:val="Hyperlink"/>
            <w:rFonts w:cs="Calibri"/>
            <w:sz w:val="24"/>
            <w:szCs w:val="24"/>
          </w:rPr>
          <w:t>Hart Research Associates Poll</w:t>
        </w:r>
      </w:hyperlink>
      <w:r w:rsidR="00C250AC" w:rsidRPr="00C250AC">
        <w:rPr>
          <w:rFonts w:cs="Calibri"/>
          <w:sz w:val="24"/>
          <w:szCs w:val="24"/>
        </w:rPr>
        <w:t>, Jan. 18-22, 2013, Q. 12</w:t>
      </w:r>
    </w:p>
    <w:p w:rsidR="00B572B4" w:rsidRPr="003D5A57" w:rsidRDefault="00B572B4" w:rsidP="005E7B77">
      <w:pPr>
        <w:pStyle w:val="ListParagraph"/>
        <w:autoSpaceDE w:val="0"/>
        <w:autoSpaceDN w:val="0"/>
        <w:adjustRightInd w:val="0"/>
        <w:spacing w:after="0" w:line="240" w:lineRule="auto"/>
        <w:ind w:left="1080"/>
        <w:rPr>
          <w:rFonts w:eastAsia="Times New Roman" w:cs="Times New Roman"/>
          <w:b/>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Restore a Robust Estate Tax </w:t>
      </w:r>
    </w:p>
    <w:p w:rsidR="00B572B4" w:rsidRPr="00C66723" w:rsidRDefault="00B572B4"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Revenue: $114-$249 billion over 10 years; Joint Committee on Taxation</w:t>
      </w:r>
    </w:p>
    <w:p w:rsidR="00B572B4" w:rsidRPr="00224AA3" w:rsidRDefault="00B572B4" w:rsidP="00B572B4">
      <w:pPr>
        <w:pStyle w:val="ListParagraph"/>
        <w:spacing w:line="240" w:lineRule="auto"/>
        <w:rPr>
          <w:rFonts w:eastAsia="Times New Roman" w:cs="Times New Roman"/>
          <w:sz w:val="24"/>
          <w:szCs w:val="24"/>
        </w:rPr>
      </w:pPr>
    </w:p>
    <w:p w:rsidR="00B572B4" w:rsidRPr="00224AA3" w:rsidRDefault="00B572B4" w:rsidP="00B572B4">
      <w:pPr>
        <w:pStyle w:val="ListParagraph"/>
        <w:spacing w:line="240" w:lineRule="auto"/>
        <w:rPr>
          <w:rFonts w:cs="Calibri"/>
          <w:sz w:val="24"/>
          <w:szCs w:val="24"/>
        </w:rPr>
      </w:pPr>
      <w:r w:rsidRPr="00224AA3">
        <w:rPr>
          <w:rFonts w:cs="Calibri"/>
          <w:sz w:val="24"/>
          <w:szCs w:val="24"/>
        </w:rPr>
        <w:t>The estate tax is a potentially important source of federal revenue that encourages billions of dollars in charitable donations each year and is a means to make the tax system modestly progressive so that the wealthy pay a fairer share of taxes.  However, the Bush tax cuts dramatically reduced the estate tax, and it was cut further by the estate tax cut enacted in 2010</w:t>
      </w:r>
      <w:r>
        <w:rPr>
          <w:rFonts w:cs="Calibri"/>
          <w:sz w:val="24"/>
          <w:szCs w:val="24"/>
        </w:rPr>
        <w:t xml:space="preserve">, which </w:t>
      </w:r>
      <w:r w:rsidRPr="00224AA3">
        <w:rPr>
          <w:rFonts w:cs="Calibri"/>
          <w:sz w:val="24"/>
          <w:szCs w:val="24"/>
        </w:rPr>
        <w:t>expire</w:t>
      </w:r>
      <w:r>
        <w:rPr>
          <w:rFonts w:cs="Calibri"/>
          <w:sz w:val="24"/>
          <w:szCs w:val="24"/>
        </w:rPr>
        <w:t>d</w:t>
      </w:r>
      <w:r w:rsidRPr="00224AA3">
        <w:rPr>
          <w:rFonts w:cs="Calibri"/>
          <w:sz w:val="24"/>
          <w:szCs w:val="24"/>
        </w:rPr>
        <w:t xml:space="preserve"> in 2012.  </w:t>
      </w:r>
    </w:p>
    <w:p w:rsidR="00B572B4" w:rsidRPr="00224AA3" w:rsidRDefault="00B572B4" w:rsidP="00B572B4">
      <w:pPr>
        <w:pStyle w:val="ListParagraph"/>
        <w:spacing w:line="240" w:lineRule="auto"/>
        <w:rPr>
          <w:rFonts w:cs="Calibri"/>
          <w:sz w:val="24"/>
          <w:szCs w:val="24"/>
        </w:rPr>
      </w:pPr>
    </w:p>
    <w:p w:rsidR="00B572B4" w:rsidRPr="00224AA3" w:rsidRDefault="00B572B4" w:rsidP="00B572B4">
      <w:pPr>
        <w:pStyle w:val="ListParagraph"/>
        <w:spacing w:line="240" w:lineRule="auto"/>
        <w:rPr>
          <w:rFonts w:eastAsia="Times New Roman" w:cs="Times New Roman"/>
          <w:sz w:val="24"/>
          <w:szCs w:val="24"/>
        </w:rPr>
      </w:pPr>
      <w:r w:rsidRPr="00224AA3">
        <w:rPr>
          <w:rFonts w:cs="Calibri"/>
          <w:sz w:val="24"/>
          <w:szCs w:val="24"/>
        </w:rPr>
        <w:t>T</w:t>
      </w:r>
      <w:r w:rsidRPr="00224AA3">
        <w:rPr>
          <w:rFonts w:eastAsia="Times New Roman" w:cs="Times New Roman"/>
          <w:sz w:val="24"/>
          <w:szCs w:val="24"/>
        </w:rPr>
        <w:t>he fiscal cliff deal extended most of that temporary estate tax cut, exempting the first $10.5 million of a couple’s estate from tax and applying a top tax rate of 40 percent to taxable assets above that level.  At this much reduced level, only the richest 0.14 percent of estates – or 1 in 700 – will owe any estate tax in 2013,</w:t>
      </w:r>
      <w:r w:rsidRPr="00224AA3">
        <w:rPr>
          <w:rStyle w:val="EndnoteReference"/>
          <w:rFonts w:eastAsia="Times New Roman"/>
          <w:sz w:val="24"/>
          <w:szCs w:val="24"/>
        </w:rPr>
        <w:endnoteReference w:id="32"/>
      </w:r>
      <w:r w:rsidRPr="00224AA3">
        <w:rPr>
          <w:rFonts w:eastAsia="Times New Roman" w:cs="Times New Roman"/>
          <w:sz w:val="24"/>
          <w:szCs w:val="24"/>
        </w:rPr>
        <w:t xml:space="preserve"> and the estate tax will raise only $19 billion more over 10 years than would have been raised by extending the 2012 estate tax.</w:t>
      </w:r>
      <w:r w:rsidRPr="00224AA3">
        <w:rPr>
          <w:rStyle w:val="EndnoteReference"/>
          <w:rFonts w:eastAsia="Times New Roman"/>
          <w:sz w:val="24"/>
          <w:szCs w:val="24"/>
        </w:rPr>
        <w:endnoteReference w:id="33"/>
      </w:r>
      <w:r w:rsidRPr="00224AA3">
        <w:rPr>
          <w:rFonts w:eastAsia="Times New Roman" w:cs="Times New Roman"/>
          <w:sz w:val="24"/>
          <w:szCs w:val="24"/>
        </w:rPr>
        <w:t xml:space="preserve">  </w:t>
      </w:r>
    </w:p>
    <w:p w:rsidR="00B572B4" w:rsidRPr="00224AA3" w:rsidRDefault="00B572B4" w:rsidP="00B572B4">
      <w:pPr>
        <w:pStyle w:val="ListParagraph"/>
        <w:spacing w:line="240" w:lineRule="auto"/>
        <w:rPr>
          <w:rFonts w:eastAsia="Times New Roman" w:cs="Times New Roman"/>
          <w:sz w:val="24"/>
          <w:szCs w:val="24"/>
        </w:rPr>
      </w:pPr>
    </w:p>
    <w:p w:rsidR="00B572B4" w:rsidRPr="00224AA3" w:rsidRDefault="00B572B4" w:rsidP="00B572B4">
      <w:pPr>
        <w:pStyle w:val="ListParagraph"/>
        <w:spacing w:line="240" w:lineRule="auto"/>
        <w:rPr>
          <w:rFonts w:eastAsia="Times New Roman" w:cs="Times New Roman"/>
          <w:sz w:val="24"/>
          <w:szCs w:val="24"/>
        </w:rPr>
      </w:pPr>
      <w:r w:rsidRPr="00224AA3">
        <w:rPr>
          <w:rFonts w:eastAsia="Times New Roman" w:cs="Times New Roman"/>
          <w:sz w:val="24"/>
          <w:szCs w:val="24"/>
        </w:rPr>
        <w:t>Under President Obama’s proposal to restore the generous estate tax parameters in effect for 2009 ($7 million exemption for couples, 45 percent top rate), only 0.2</w:t>
      </w:r>
      <w:r>
        <w:rPr>
          <w:rFonts w:eastAsia="Times New Roman" w:cs="Times New Roman"/>
          <w:sz w:val="24"/>
          <w:szCs w:val="24"/>
        </w:rPr>
        <w:t>6</w:t>
      </w:r>
      <w:r w:rsidRPr="00224AA3">
        <w:rPr>
          <w:rFonts w:eastAsia="Times New Roman" w:cs="Times New Roman"/>
          <w:sz w:val="24"/>
          <w:szCs w:val="24"/>
        </w:rPr>
        <w:t xml:space="preserve"> percent of estates – or 1 in </w:t>
      </w:r>
      <w:r>
        <w:rPr>
          <w:rFonts w:eastAsia="Times New Roman" w:cs="Times New Roman"/>
          <w:sz w:val="24"/>
          <w:szCs w:val="24"/>
        </w:rPr>
        <w:t>380</w:t>
      </w:r>
      <w:r w:rsidRPr="00224AA3">
        <w:rPr>
          <w:rFonts w:eastAsia="Times New Roman" w:cs="Times New Roman"/>
          <w:sz w:val="24"/>
          <w:szCs w:val="24"/>
        </w:rPr>
        <w:t xml:space="preserve"> – would owe any estate tax in 2013.</w:t>
      </w:r>
      <w:r w:rsidRPr="00224AA3">
        <w:rPr>
          <w:rStyle w:val="EndnoteReference"/>
          <w:rFonts w:eastAsia="Times New Roman"/>
          <w:sz w:val="24"/>
          <w:szCs w:val="24"/>
        </w:rPr>
        <w:endnoteReference w:id="34"/>
      </w:r>
      <w:r w:rsidRPr="00224AA3">
        <w:rPr>
          <w:rFonts w:eastAsia="Times New Roman" w:cs="Times New Roman"/>
          <w:sz w:val="24"/>
          <w:szCs w:val="24"/>
        </w:rPr>
        <w:t xml:space="preserve"> Even with so few estates subject to the estate tax, the Obama proposal would raise $114 billion more over 10 years than the deal struck in January 2013.</w:t>
      </w:r>
      <w:r w:rsidRPr="00224AA3">
        <w:rPr>
          <w:rStyle w:val="EndnoteReference"/>
          <w:rFonts w:eastAsia="Times New Roman"/>
          <w:sz w:val="24"/>
          <w:szCs w:val="24"/>
        </w:rPr>
        <w:endnoteReference w:id="35"/>
      </w:r>
      <w:r w:rsidRPr="00224AA3">
        <w:rPr>
          <w:rFonts w:eastAsia="Times New Roman" w:cs="Times New Roman"/>
          <w:sz w:val="24"/>
          <w:szCs w:val="24"/>
        </w:rPr>
        <w:t xml:space="preserve"> </w:t>
      </w:r>
    </w:p>
    <w:p w:rsidR="00B572B4" w:rsidRPr="00224AA3" w:rsidRDefault="00B572B4" w:rsidP="00B572B4">
      <w:pPr>
        <w:spacing w:after="0" w:line="240" w:lineRule="auto"/>
        <w:ind w:left="720"/>
        <w:rPr>
          <w:rFonts w:eastAsia="Times" w:cs="Calibri"/>
          <w:sz w:val="24"/>
          <w:szCs w:val="24"/>
        </w:rPr>
      </w:pPr>
      <w:r w:rsidRPr="00224AA3">
        <w:rPr>
          <w:rFonts w:eastAsia="Times" w:cs="Calibri"/>
          <w:sz w:val="24"/>
          <w:szCs w:val="24"/>
        </w:rPr>
        <w:t>Another proposal (H.R. 3467), introduced by Rep. Jim McDermott in 2011, set the estate tax exemption at $2.6 million per couple, which would affect fewer than 2 percent of estates.</w:t>
      </w:r>
      <w:r w:rsidRPr="00224AA3">
        <w:rPr>
          <w:rStyle w:val="EndnoteReference"/>
          <w:rFonts w:eastAsia="Times"/>
          <w:sz w:val="24"/>
          <w:szCs w:val="24"/>
        </w:rPr>
        <w:endnoteReference w:id="36"/>
      </w:r>
      <w:r w:rsidRPr="00224AA3">
        <w:rPr>
          <w:rFonts w:eastAsia="Times" w:cs="Calibri"/>
          <w:sz w:val="24"/>
          <w:szCs w:val="24"/>
        </w:rPr>
        <w:t xml:space="preserve">  It would set a top rate of 55 percent on the value of estates above that amount.  This would largely restore the estate tax to where it was before the Bush tax cuts, adjusted for inflation and with some reforms. It would raise $249 billion more than the deal struck in January.</w:t>
      </w:r>
      <w:r w:rsidRPr="00224AA3">
        <w:rPr>
          <w:rFonts w:eastAsia="Times" w:cs="Calibri"/>
          <w:sz w:val="24"/>
          <w:szCs w:val="24"/>
          <w:vertAlign w:val="superscript"/>
        </w:rPr>
        <w:endnoteReference w:id="37"/>
      </w:r>
    </w:p>
    <w:p w:rsidR="00B572B4" w:rsidRDefault="00B572B4" w:rsidP="00B572B4">
      <w:pPr>
        <w:pStyle w:val="ListParagraph"/>
        <w:spacing w:line="240" w:lineRule="auto"/>
        <w:rPr>
          <w:rFonts w:eastAsia="Times New Roman" w:cs="Times New Roman"/>
          <w:sz w:val="24"/>
          <w:szCs w:val="24"/>
        </w:rPr>
      </w:pPr>
    </w:p>
    <w:p w:rsidR="003867AC" w:rsidRDefault="003867AC" w:rsidP="00B572B4">
      <w:pPr>
        <w:pStyle w:val="ListParagraph"/>
        <w:spacing w:line="240" w:lineRule="auto"/>
        <w:rPr>
          <w:rFonts w:eastAsia="Times New Roman" w:cs="Times New Roman"/>
          <w:sz w:val="24"/>
          <w:szCs w:val="24"/>
        </w:rPr>
      </w:pPr>
    </w:p>
    <w:p w:rsidR="003867AC" w:rsidRDefault="003867AC" w:rsidP="00B572B4">
      <w:pPr>
        <w:pStyle w:val="ListParagraph"/>
        <w:spacing w:line="240" w:lineRule="auto"/>
        <w:rPr>
          <w:rFonts w:eastAsia="Times New Roman" w:cs="Times New Roman"/>
          <w:sz w:val="24"/>
          <w:szCs w:val="24"/>
        </w:rPr>
      </w:pPr>
    </w:p>
    <w:p w:rsidR="003867AC" w:rsidRDefault="003867AC" w:rsidP="00B572B4">
      <w:pPr>
        <w:pStyle w:val="ListParagraph"/>
        <w:spacing w:line="240" w:lineRule="auto"/>
        <w:rPr>
          <w:rFonts w:eastAsia="Times New Roman" w:cs="Times New Roman"/>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lastRenderedPageBreak/>
        <w:t>Close Loopholes in the Estate Tax</w:t>
      </w:r>
    </w:p>
    <w:p w:rsidR="00B572B4" w:rsidRDefault="00B572B4"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Revenue: $24 billion over 10 years; Treasury Department</w:t>
      </w:r>
    </w:p>
    <w:p w:rsidR="00C66723" w:rsidRPr="00C66723" w:rsidRDefault="00C66723" w:rsidP="00C66723">
      <w:pPr>
        <w:pStyle w:val="ListParagraph"/>
        <w:spacing w:after="0" w:line="240" w:lineRule="auto"/>
        <w:rPr>
          <w:rFonts w:ascii="Calibri" w:eastAsia="Times" w:hAnsi="Calibri" w:cs="Calibri"/>
          <w:b/>
          <w:color w:val="0477AE"/>
          <w:sz w:val="24"/>
          <w:szCs w:val="24"/>
        </w:rPr>
      </w:pPr>
    </w:p>
    <w:p w:rsidR="00B572B4" w:rsidRPr="009D77B2" w:rsidRDefault="00B572B4" w:rsidP="00B572B4">
      <w:pPr>
        <w:spacing w:line="240" w:lineRule="auto"/>
        <w:ind w:left="720"/>
        <w:rPr>
          <w:rFonts w:eastAsia="Times New Roman" w:cs="Times New Roman"/>
          <w:sz w:val="24"/>
          <w:szCs w:val="24"/>
        </w:rPr>
      </w:pPr>
      <w:r w:rsidRPr="009D77B2">
        <w:rPr>
          <w:rFonts w:eastAsia="Times New Roman" w:cs="Times New Roman"/>
          <w:sz w:val="24"/>
          <w:szCs w:val="24"/>
        </w:rPr>
        <w:t>Though the estate tax now allows couples to transfer $10.5 million of wealth tax-free to heirs, wealthy people use numerous aggressive strategies to avoid estate and gift tax</w:t>
      </w:r>
      <w:r>
        <w:rPr>
          <w:rFonts w:eastAsia="Times New Roman" w:cs="Times New Roman"/>
          <w:sz w:val="24"/>
          <w:szCs w:val="24"/>
        </w:rPr>
        <w:t>es</w:t>
      </w:r>
      <w:r w:rsidRPr="009D77B2">
        <w:rPr>
          <w:rFonts w:eastAsia="Times New Roman" w:cs="Times New Roman"/>
          <w:sz w:val="24"/>
          <w:szCs w:val="24"/>
        </w:rPr>
        <w:t xml:space="preserve"> while transferring even larger amounts of wealth. President Obama’s budgets in recent years ha</w:t>
      </w:r>
      <w:r>
        <w:rPr>
          <w:rFonts w:eastAsia="Times New Roman" w:cs="Times New Roman"/>
          <w:sz w:val="24"/>
          <w:szCs w:val="24"/>
        </w:rPr>
        <w:t>ve</w:t>
      </w:r>
      <w:r w:rsidRPr="009D77B2">
        <w:rPr>
          <w:rFonts w:eastAsia="Times New Roman" w:cs="Times New Roman"/>
          <w:sz w:val="24"/>
          <w:szCs w:val="24"/>
        </w:rPr>
        <w:t xml:space="preserve"> identified several reforms to prevent people from undervaluing their assets for estate tax purposes or using trusts as estate tax avoidance devices.</w:t>
      </w:r>
      <w:r w:rsidRPr="0020079F">
        <w:rPr>
          <w:sz w:val="24"/>
          <w:szCs w:val="24"/>
          <w:vertAlign w:val="superscript"/>
        </w:rPr>
        <w:endnoteReference w:id="38"/>
      </w:r>
      <w:r w:rsidRPr="009D77B2">
        <w:rPr>
          <w:rFonts w:eastAsia="Times New Roman" w:cs="Times New Roman"/>
          <w:sz w:val="24"/>
          <w:szCs w:val="24"/>
        </w:rPr>
        <w:t xml:space="preserve"> The Treasury Department estimated in 2012 that these reforms would raise $24 billion over 10 years.</w:t>
      </w:r>
      <w:r>
        <w:rPr>
          <w:rStyle w:val="EndnoteReference"/>
          <w:rFonts w:eastAsia="Times New Roman"/>
          <w:sz w:val="24"/>
          <w:szCs w:val="24"/>
        </w:rPr>
        <w:endnoteReference w:id="39"/>
      </w:r>
      <w:r w:rsidRPr="009D77B2">
        <w:rPr>
          <w:rFonts w:eastAsia="Times New Roman" w:cs="Times New Roman"/>
          <w:sz w:val="24"/>
          <w:szCs w:val="24"/>
        </w:rPr>
        <w:t xml:space="preserve"> That amount might be less under the now-looser estate tax parameters</w:t>
      </w:r>
      <w:r>
        <w:rPr>
          <w:rFonts w:eastAsia="Times New Roman" w:cs="Times New Roman"/>
          <w:sz w:val="24"/>
          <w:szCs w:val="24"/>
        </w:rPr>
        <w:t xml:space="preserve"> enacted under the American Tax Reform Act in 2013</w:t>
      </w:r>
      <w:r w:rsidRPr="009D77B2">
        <w:rPr>
          <w:rFonts w:eastAsia="Times New Roman" w:cs="Times New Roman"/>
          <w:sz w:val="24"/>
          <w:szCs w:val="24"/>
        </w:rPr>
        <w:t>, but it is not a complete estimate of the revenue that can be raised through estate tax reform: there are undoubtedly other tax avoidance strategies that deserve further scrutiny.</w:t>
      </w: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Curb the Deferral of Tax on Income from the Purchase of Annuities or Life Insurance Policies by Wealthy Investors </w:t>
      </w:r>
    </w:p>
    <w:p w:rsidR="00B572B4" w:rsidRPr="003D5A57" w:rsidRDefault="00B572B4" w:rsidP="00C66723">
      <w:pPr>
        <w:pStyle w:val="ListParagraph"/>
        <w:spacing w:after="0" w:line="240" w:lineRule="auto"/>
        <w:rPr>
          <w:rFonts w:eastAsia="Times New Roman" w:cs="Times New Roman"/>
          <w:b/>
          <w:sz w:val="24"/>
          <w:szCs w:val="24"/>
        </w:rPr>
      </w:pPr>
      <w:r w:rsidRPr="00C66723">
        <w:rPr>
          <w:rFonts w:ascii="Calibri" w:eastAsia="Times" w:hAnsi="Calibri" w:cs="Calibri"/>
          <w:b/>
          <w:color w:val="0477AE"/>
          <w:sz w:val="24"/>
          <w:szCs w:val="24"/>
        </w:rPr>
        <w:t>Revenue: Up to $260 billion over 10 years; Congressional Budget Office</w:t>
      </w:r>
    </w:p>
    <w:p w:rsidR="00B572B4" w:rsidRDefault="00B572B4" w:rsidP="00B572B4">
      <w:pPr>
        <w:pStyle w:val="ListParagraph"/>
        <w:spacing w:line="240" w:lineRule="auto"/>
        <w:rPr>
          <w:rFonts w:eastAsia="Times New Roman" w:cs="Times New Roman"/>
          <w:sz w:val="24"/>
          <w:szCs w:val="24"/>
        </w:rPr>
      </w:pPr>
    </w:p>
    <w:p w:rsidR="00B572B4" w:rsidRPr="000D1750" w:rsidRDefault="00B572B4" w:rsidP="00B572B4">
      <w:pPr>
        <w:pStyle w:val="ListParagraph"/>
        <w:spacing w:line="240" w:lineRule="auto"/>
        <w:rPr>
          <w:rFonts w:eastAsia="Times New Roman" w:cs="Times New Roman"/>
          <w:sz w:val="24"/>
          <w:szCs w:val="24"/>
        </w:rPr>
      </w:pPr>
      <w:r>
        <w:rPr>
          <w:rFonts w:eastAsia="Times New Roman" w:cs="Times New Roman"/>
          <w:sz w:val="24"/>
          <w:szCs w:val="24"/>
        </w:rPr>
        <w:t>Normally, when people hold investments outside of tax-preferred retirement accounts, they must pay income taxes when interest or dividends are paid from those investments or when assets are sold resulting in capital gains.  However, people who buy annuities or whole-life insurance policies can effectively defer tax on their earnings from their premiums as they accumulate.  The tax could be paid by individuals or directly by the company providing the annuity or insurance policy. It is estimated that curbing this loophole could save up to $260 billion, according to CBO.</w:t>
      </w:r>
      <w:r>
        <w:rPr>
          <w:rStyle w:val="EndnoteReference"/>
          <w:rFonts w:eastAsia="Times New Roman"/>
          <w:sz w:val="24"/>
          <w:szCs w:val="24"/>
        </w:rPr>
        <w:endnoteReference w:id="40"/>
      </w:r>
      <w:r>
        <w:rPr>
          <w:rFonts w:eastAsia="Times New Roman" w:cs="Times New Roman"/>
          <w:sz w:val="24"/>
          <w:szCs w:val="24"/>
        </w:rPr>
        <w:t xml:space="preserve"> </w:t>
      </w:r>
      <w:r w:rsidRPr="000D1750">
        <w:rPr>
          <w:rFonts w:eastAsia="Times New Roman" w:cs="Times New Roman"/>
          <w:sz w:val="24"/>
          <w:szCs w:val="24"/>
        </w:rPr>
        <w:t xml:space="preserve">The benefit seems to go mainly to the well-off. Data from the Federal Reserve indicates that over half of this </w:t>
      </w:r>
    </w:p>
    <w:p w:rsidR="00B572B4" w:rsidRDefault="00B572B4" w:rsidP="00B572B4">
      <w:pPr>
        <w:pStyle w:val="ListParagraph"/>
        <w:spacing w:line="240" w:lineRule="auto"/>
        <w:rPr>
          <w:rFonts w:eastAsia="Times New Roman" w:cs="Times New Roman"/>
          <w:sz w:val="24"/>
          <w:szCs w:val="24"/>
        </w:rPr>
      </w:pPr>
      <w:proofErr w:type="gramStart"/>
      <w:r w:rsidRPr="000D1750">
        <w:rPr>
          <w:rFonts w:eastAsia="Times New Roman" w:cs="Times New Roman"/>
          <w:sz w:val="24"/>
          <w:szCs w:val="24"/>
        </w:rPr>
        <w:t>untaxed</w:t>
      </w:r>
      <w:proofErr w:type="gramEnd"/>
      <w:r w:rsidRPr="000D1750">
        <w:rPr>
          <w:rFonts w:eastAsia="Times New Roman" w:cs="Times New Roman"/>
          <w:sz w:val="24"/>
          <w:szCs w:val="24"/>
        </w:rPr>
        <w:t xml:space="preserve"> investment income is owned by the richest 10 percent of Americans, and very little is owned by the bottom half of Americans.</w:t>
      </w:r>
      <w:r>
        <w:rPr>
          <w:rStyle w:val="EndnoteReference"/>
          <w:rFonts w:eastAsia="Times New Roman"/>
          <w:sz w:val="24"/>
          <w:szCs w:val="24"/>
        </w:rPr>
        <w:endnoteReference w:id="41"/>
      </w:r>
      <w:r>
        <w:rPr>
          <w:rFonts w:eastAsia="Times New Roman" w:cs="Times New Roman"/>
          <w:sz w:val="24"/>
          <w:szCs w:val="24"/>
        </w:rPr>
        <w:t xml:space="preserve"> </w:t>
      </w:r>
      <w:r w:rsidR="009B4C4A">
        <w:rPr>
          <w:rFonts w:eastAsia="Times New Roman" w:cs="Times New Roman"/>
          <w:color w:val="000000"/>
          <w:sz w:val="24"/>
          <w:szCs w:val="24"/>
        </w:rPr>
        <w:t xml:space="preserve">The deficit-reduction proposal made by Erskine Bowles and Alan Simpson, under the auspices of the </w:t>
      </w:r>
      <w:r w:rsidR="009B4C4A" w:rsidRPr="00213588">
        <w:rPr>
          <w:rFonts w:eastAsia="Times New Roman" w:cs="Times New Roman"/>
          <w:color w:val="000000"/>
          <w:sz w:val="24"/>
          <w:szCs w:val="24"/>
        </w:rPr>
        <w:t xml:space="preserve">National Commission </w:t>
      </w:r>
      <w:r w:rsidR="009B4C4A">
        <w:rPr>
          <w:rFonts w:eastAsia="Times New Roman" w:cs="Times New Roman"/>
          <w:color w:val="000000"/>
          <w:sz w:val="24"/>
          <w:szCs w:val="24"/>
        </w:rPr>
        <w:t>o</w:t>
      </w:r>
      <w:r w:rsidR="009B4C4A" w:rsidRPr="00213588">
        <w:rPr>
          <w:rFonts w:eastAsia="Times New Roman" w:cs="Times New Roman"/>
          <w:color w:val="000000"/>
          <w:sz w:val="24"/>
          <w:szCs w:val="24"/>
        </w:rPr>
        <w:t>n Fiscal R</w:t>
      </w:r>
      <w:r w:rsidR="009B4C4A">
        <w:rPr>
          <w:rFonts w:eastAsia="Times New Roman" w:cs="Times New Roman"/>
          <w:color w:val="000000"/>
          <w:sz w:val="24"/>
          <w:szCs w:val="24"/>
        </w:rPr>
        <w:t>e</w:t>
      </w:r>
      <w:r w:rsidR="009B4C4A" w:rsidRPr="00213588">
        <w:rPr>
          <w:rFonts w:eastAsia="Times New Roman" w:cs="Times New Roman"/>
          <w:color w:val="000000"/>
          <w:sz w:val="24"/>
          <w:szCs w:val="24"/>
        </w:rPr>
        <w:t>sponsibilit</w:t>
      </w:r>
      <w:r w:rsidR="009B4C4A">
        <w:rPr>
          <w:rFonts w:eastAsia="Times New Roman" w:cs="Times New Roman"/>
          <w:color w:val="000000"/>
          <w:sz w:val="24"/>
          <w:szCs w:val="24"/>
        </w:rPr>
        <w:t xml:space="preserve">y and Reform, also </w:t>
      </w:r>
      <w:r w:rsidRPr="00C54D0C">
        <w:rPr>
          <w:rFonts w:eastAsia="Times New Roman" w:cs="Times New Roman"/>
          <w:sz w:val="24"/>
          <w:szCs w:val="24"/>
        </w:rPr>
        <w:t>taxed inside buildup on life insurance benefits at death.</w:t>
      </w:r>
      <w:r>
        <w:rPr>
          <w:rStyle w:val="EndnoteReference"/>
          <w:rFonts w:eastAsia="Times New Roman"/>
          <w:sz w:val="24"/>
          <w:szCs w:val="24"/>
        </w:rPr>
        <w:endnoteReference w:id="42"/>
      </w:r>
      <w:r w:rsidR="009B4C4A">
        <w:rPr>
          <w:rFonts w:eastAsia="Times New Roman" w:cs="Times New Roman"/>
          <w:sz w:val="24"/>
          <w:szCs w:val="24"/>
        </w:rPr>
        <w:t xml:space="preserve"> </w:t>
      </w:r>
    </w:p>
    <w:p w:rsidR="009B4C4A" w:rsidRDefault="009B4C4A" w:rsidP="00B572B4">
      <w:pPr>
        <w:pStyle w:val="ListParagraph"/>
        <w:spacing w:line="240" w:lineRule="auto"/>
        <w:rPr>
          <w:rFonts w:eastAsia="Times New Roman" w:cs="Times New Roman"/>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Limit Excessive IRA Accumulations for Investment Fund Managers </w:t>
      </w:r>
    </w:p>
    <w:p w:rsidR="00B572B4" w:rsidRPr="003D5A57" w:rsidRDefault="00B572B4" w:rsidP="00C66723">
      <w:pPr>
        <w:pStyle w:val="ListParagraph"/>
        <w:spacing w:after="0" w:line="240" w:lineRule="auto"/>
        <w:rPr>
          <w:rFonts w:eastAsia="Times New Roman" w:cs="Times New Roman"/>
          <w:b/>
          <w:sz w:val="24"/>
          <w:szCs w:val="24"/>
        </w:rPr>
      </w:pPr>
      <w:r w:rsidRPr="00C66723">
        <w:rPr>
          <w:rFonts w:ascii="Calibri" w:eastAsia="Times" w:hAnsi="Calibri" w:cs="Calibri"/>
          <w:b/>
          <w:color w:val="0477AE"/>
          <w:sz w:val="24"/>
          <w:szCs w:val="24"/>
        </w:rPr>
        <w:t>Revenue: no publicly available revenue estimate</w:t>
      </w:r>
    </w:p>
    <w:p w:rsidR="00B572B4" w:rsidRDefault="00B572B4" w:rsidP="00B572B4">
      <w:pPr>
        <w:pStyle w:val="ListParagraph"/>
        <w:spacing w:line="240" w:lineRule="auto"/>
        <w:rPr>
          <w:rFonts w:eastAsia="Times New Roman" w:cs="Times New Roman"/>
          <w:sz w:val="24"/>
          <w:szCs w:val="24"/>
        </w:rPr>
      </w:pPr>
    </w:p>
    <w:p w:rsidR="00B572B4" w:rsidRPr="004567B3" w:rsidRDefault="00B572B4" w:rsidP="00B572B4">
      <w:pPr>
        <w:pStyle w:val="ListParagraph"/>
        <w:spacing w:line="240" w:lineRule="auto"/>
        <w:rPr>
          <w:rFonts w:eastAsia="Times New Roman" w:cstheme="minorHAnsi"/>
          <w:sz w:val="24"/>
          <w:szCs w:val="24"/>
        </w:rPr>
      </w:pPr>
      <w:r>
        <w:rPr>
          <w:rFonts w:eastAsia="Times New Roman" w:cs="Times New Roman"/>
          <w:sz w:val="24"/>
          <w:szCs w:val="24"/>
        </w:rPr>
        <w:t>Tax-favored retirement accounts such as Individual Retirement Accounts (IRAs) and 401(k</w:t>
      </w:r>
      <w:proofErr w:type="gramStart"/>
      <w:r>
        <w:rPr>
          <w:rFonts w:eastAsia="Times New Roman" w:cs="Times New Roman"/>
          <w:sz w:val="24"/>
          <w:szCs w:val="24"/>
        </w:rPr>
        <w:t>)s</w:t>
      </w:r>
      <w:proofErr w:type="gramEnd"/>
      <w:r>
        <w:rPr>
          <w:rFonts w:eastAsia="Times New Roman" w:cs="Times New Roman"/>
          <w:sz w:val="24"/>
          <w:szCs w:val="24"/>
        </w:rPr>
        <w:t xml:space="preserve"> are intended to help regular workers save for a secure retirement, not to provide tax shelters for the rich. But extremely wealthy people, such as i</w:t>
      </w:r>
      <w:r w:rsidRPr="00764310">
        <w:rPr>
          <w:rFonts w:eastAsia="Times New Roman" w:cs="Times New Roman"/>
          <w:sz w:val="24"/>
          <w:szCs w:val="24"/>
        </w:rPr>
        <w:t xml:space="preserve">nvestment </w:t>
      </w:r>
      <w:r>
        <w:rPr>
          <w:rFonts w:eastAsia="Times New Roman" w:cs="Times New Roman"/>
          <w:sz w:val="24"/>
          <w:szCs w:val="24"/>
        </w:rPr>
        <w:t xml:space="preserve">fund </w:t>
      </w:r>
      <w:r w:rsidRPr="00764310">
        <w:rPr>
          <w:rFonts w:eastAsia="Times New Roman" w:cs="Times New Roman"/>
          <w:sz w:val="24"/>
          <w:szCs w:val="24"/>
        </w:rPr>
        <w:t>managers</w:t>
      </w:r>
      <w:r>
        <w:rPr>
          <w:rFonts w:eastAsia="Times New Roman" w:cs="Times New Roman"/>
          <w:sz w:val="24"/>
          <w:szCs w:val="24"/>
        </w:rPr>
        <w:t>,</w:t>
      </w:r>
      <w:r w:rsidRPr="00764310">
        <w:rPr>
          <w:rFonts w:eastAsia="Times New Roman" w:cs="Times New Roman"/>
          <w:sz w:val="24"/>
          <w:szCs w:val="24"/>
        </w:rPr>
        <w:t xml:space="preserve"> can accumulate tens of millions of dollars in their </w:t>
      </w:r>
      <w:r>
        <w:rPr>
          <w:rFonts w:eastAsia="Times New Roman" w:cs="Times New Roman"/>
          <w:sz w:val="24"/>
          <w:szCs w:val="24"/>
        </w:rPr>
        <w:t>IRAs</w:t>
      </w:r>
      <w:r w:rsidRPr="00764310">
        <w:rPr>
          <w:rFonts w:eastAsia="Times New Roman" w:cs="Times New Roman"/>
          <w:sz w:val="24"/>
          <w:szCs w:val="24"/>
        </w:rPr>
        <w:t xml:space="preserve"> – avoiding the contribution limits that apply to middle-class workers – by under-valuing the contributions they make to their IRAs.</w:t>
      </w:r>
      <w:r>
        <w:rPr>
          <w:rStyle w:val="EndnoteReference"/>
          <w:rFonts w:eastAsia="Times New Roman"/>
          <w:sz w:val="24"/>
          <w:szCs w:val="24"/>
        </w:rPr>
        <w:endnoteReference w:id="43"/>
      </w:r>
      <w:r w:rsidRPr="00764310">
        <w:rPr>
          <w:rFonts w:eastAsia="Times New Roman" w:cs="Times New Roman"/>
          <w:sz w:val="24"/>
          <w:szCs w:val="24"/>
        </w:rPr>
        <w:t xml:space="preserve"> </w:t>
      </w:r>
      <w:r w:rsidRPr="004567B3">
        <w:rPr>
          <w:rFonts w:eastAsia="Times New Roman" w:cstheme="minorHAnsi"/>
          <w:sz w:val="24"/>
          <w:szCs w:val="24"/>
        </w:rPr>
        <w:t xml:space="preserve">For example, </w:t>
      </w:r>
      <w:r w:rsidRPr="004567B3">
        <w:rPr>
          <w:rFonts w:cstheme="minorHAnsi"/>
          <w:sz w:val="24"/>
          <w:szCs w:val="24"/>
        </w:rPr>
        <w:t>Mitt Romney’s IRA is reported to be worth $87 million.</w:t>
      </w:r>
      <w:r w:rsidRPr="004567B3">
        <w:rPr>
          <w:rStyle w:val="EndnoteReference"/>
          <w:rFonts w:cstheme="minorHAnsi"/>
          <w:sz w:val="24"/>
          <w:szCs w:val="24"/>
        </w:rPr>
        <w:endnoteReference w:id="44"/>
      </w:r>
    </w:p>
    <w:p w:rsidR="00B572B4" w:rsidRDefault="00B572B4" w:rsidP="00B572B4">
      <w:pPr>
        <w:pStyle w:val="ListParagraph"/>
        <w:spacing w:line="240" w:lineRule="auto"/>
        <w:rPr>
          <w:rFonts w:eastAsia="Times New Roman" w:cs="Times New Roman"/>
          <w:sz w:val="24"/>
          <w:szCs w:val="24"/>
        </w:rPr>
      </w:pPr>
    </w:p>
    <w:p w:rsidR="00B572B4" w:rsidRDefault="00B572B4" w:rsidP="00B572B4">
      <w:pPr>
        <w:pStyle w:val="ListParagraph"/>
        <w:spacing w:line="240" w:lineRule="auto"/>
        <w:rPr>
          <w:rFonts w:eastAsia="Times New Roman" w:cs="Times New Roman"/>
          <w:sz w:val="24"/>
          <w:szCs w:val="24"/>
        </w:rPr>
      </w:pPr>
      <w:r>
        <w:rPr>
          <w:rFonts w:eastAsia="Times New Roman" w:cs="Times New Roman"/>
          <w:sz w:val="24"/>
          <w:szCs w:val="24"/>
        </w:rPr>
        <w:lastRenderedPageBreak/>
        <w:t>This loophole is of dubious legality to begin with. But Congress can guard against abuses by enacting rules to limit the use of IRAs as tax shelters. For example, Congress could require distributions from IRAs if their value rises above a certain amount, or require retroactive taxation of contributions to IRAs if the value of those contributions rises above some set percentage.</w:t>
      </w:r>
    </w:p>
    <w:p w:rsidR="0077310B" w:rsidRDefault="0077310B" w:rsidP="00B572B4">
      <w:pPr>
        <w:pStyle w:val="ListParagraph"/>
        <w:spacing w:line="240" w:lineRule="auto"/>
        <w:rPr>
          <w:rFonts w:eastAsia="Times New Roman" w:cs="Times New Roman"/>
          <w:sz w:val="24"/>
          <w:szCs w:val="24"/>
        </w:rPr>
      </w:pPr>
    </w:p>
    <w:p w:rsidR="0077310B" w:rsidRPr="0077310B" w:rsidRDefault="0077310B" w:rsidP="0077310B">
      <w:pPr>
        <w:pStyle w:val="ListParagraph"/>
        <w:numPr>
          <w:ilvl w:val="0"/>
          <w:numId w:val="24"/>
        </w:numPr>
        <w:spacing w:after="0" w:line="240" w:lineRule="auto"/>
        <w:ind w:left="720"/>
        <w:rPr>
          <w:rFonts w:ascii="Calibri" w:eastAsia="Times" w:hAnsi="Calibri" w:cs="Calibri"/>
          <w:b/>
          <w:color w:val="0477AE"/>
          <w:sz w:val="24"/>
          <w:szCs w:val="24"/>
        </w:rPr>
      </w:pPr>
      <w:r w:rsidRPr="0077310B">
        <w:rPr>
          <w:rFonts w:ascii="Calibri" w:eastAsia="Times" w:hAnsi="Calibri" w:cs="Calibri"/>
          <w:b/>
          <w:color w:val="0477AE"/>
          <w:sz w:val="24"/>
          <w:szCs w:val="24"/>
        </w:rPr>
        <w:t xml:space="preserve">Ensure </w:t>
      </w:r>
      <w:r w:rsidR="009779A6">
        <w:rPr>
          <w:rFonts w:ascii="Calibri" w:eastAsia="Times" w:hAnsi="Calibri" w:cs="Calibri"/>
          <w:b/>
          <w:color w:val="0477AE"/>
          <w:sz w:val="24"/>
          <w:szCs w:val="24"/>
        </w:rPr>
        <w:t>M</w:t>
      </w:r>
      <w:r w:rsidRPr="0077310B">
        <w:rPr>
          <w:rFonts w:ascii="Calibri" w:eastAsia="Times" w:hAnsi="Calibri" w:cs="Calibri"/>
          <w:b/>
          <w:color w:val="0477AE"/>
          <w:sz w:val="24"/>
          <w:szCs w:val="24"/>
        </w:rPr>
        <w:t xml:space="preserve">illionaires </w:t>
      </w:r>
      <w:r w:rsidR="009779A6">
        <w:rPr>
          <w:rFonts w:ascii="Calibri" w:eastAsia="Times" w:hAnsi="Calibri" w:cs="Calibri"/>
          <w:b/>
          <w:color w:val="0477AE"/>
          <w:sz w:val="24"/>
          <w:szCs w:val="24"/>
        </w:rPr>
        <w:t>P</w:t>
      </w:r>
      <w:r w:rsidRPr="0077310B">
        <w:rPr>
          <w:rFonts w:ascii="Calibri" w:eastAsia="Times" w:hAnsi="Calibri" w:cs="Calibri"/>
          <w:b/>
          <w:color w:val="0477AE"/>
          <w:sz w:val="24"/>
          <w:szCs w:val="24"/>
        </w:rPr>
        <w:t xml:space="preserve">ay at </w:t>
      </w:r>
      <w:r w:rsidR="009779A6">
        <w:rPr>
          <w:rFonts w:ascii="Calibri" w:eastAsia="Times" w:hAnsi="Calibri" w:cs="Calibri"/>
          <w:b/>
          <w:color w:val="0477AE"/>
          <w:sz w:val="24"/>
          <w:szCs w:val="24"/>
        </w:rPr>
        <w:t>L</w:t>
      </w:r>
      <w:r w:rsidRPr="0077310B">
        <w:rPr>
          <w:rFonts w:ascii="Calibri" w:eastAsia="Times" w:hAnsi="Calibri" w:cs="Calibri"/>
          <w:b/>
          <w:color w:val="0477AE"/>
          <w:sz w:val="24"/>
          <w:szCs w:val="24"/>
        </w:rPr>
        <w:t>east a 30</w:t>
      </w:r>
      <w:r w:rsidR="009779A6">
        <w:rPr>
          <w:rFonts w:ascii="Calibri" w:eastAsia="Times" w:hAnsi="Calibri" w:cs="Calibri"/>
          <w:b/>
          <w:color w:val="0477AE"/>
          <w:sz w:val="24"/>
          <w:szCs w:val="24"/>
        </w:rPr>
        <w:t xml:space="preserve"> Percent</w:t>
      </w:r>
      <w:r w:rsidRPr="0077310B">
        <w:rPr>
          <w:rFonts w:ascii="Calibri" w:eastAsia="Times" w:hAnsi="Calibri" w:cs="Calibri"/>
          <w:b/>
          <w:color w:val="0477AE"/>
          <w:sz w:val="24"/>
          <w:szCs w:val="24"/>
        </w:rPr>
        <w:t xml:space="preserve"> </w:t>
      </w:r>
      <w:r w:rsidR="009779A6">
        <w:rPr>
          <w:rFonts w:ascii="Calibri" w:eastAsia="Times" w:hAnsi="Calibri" w:cs="Calibri"/>
          <w:b/>
          <w:color w:val="0477AE"/>
          <w:sz w:val="24"/>
          <w:szCs w:val="24"/>
        </w:rPr>
        <w:t>T</w:t>
      </w:r>
      <w:r w:rsidRPr="0077310B">
        <w:rPr>
          <w:rFonts w:ascii="Calibri" w:eastAsia="Times" w:hAnsi="Calibri" w:cs="Calibri"/>
          <w:b/>
          <w:color w:val="0477AE"/>
          <w:sz w:val="24"/>
          <w:szCs w:val="24"/>
        </w:rPr>
        <w:t xml:space="preserve">ax </w:t>
      </w:r>
      <w:r w:rsidR="009779A6">
        <w:rPr>
          <w:rFonts w:ascii="Calibri" w:eastAsia="Times" w:hAnsi="Calibri" w:cs="Calibri"/>
          <w:b/>
          <w:color w:val="0477AE"/>
          <w:sz w:val="24"/>
          <w:szCs w:val="24"/>
        </w:rPr>
        <w:t>R</w:t>
      </w:r>
      <w:r w:rsidRPr="0077310B">
        <w:rPr>
          <w:rFonts w:ascii="Calibri" w:eastAsia="Times" w:hAnsi="Calibri" w:cs="Calibri"/>
          <w:b/>
          <w:color w:val="0477AE"/>
          <w:sz w:val="24"/>
          <w:szCs w:val="24"/>
        </w:rPr>
        <w:t>ate (“Buffett rule”)</w:t>
      </w:r>
    </w:p>
    <w:p w:rsidR="0077310B" w:rsidRPr="0077310B" w:rsidRDefault="0077310B" w:rsidP="0077310B">
      <w:pPr>
        <w:pStyle w:val="ListParagraph"/>
        <w:spacing w:after="0" w:line="240" w:lineRule="auto"/>
        <w:rPr>
          <w:rFonts w:ascii="Calibri" w:eastAsia="Times" w:hAnsi="Calibri" w:cs="Calibri"/>
          <w:b/>
          <w:color w:val="0477AE"/>
          <w:sz w:val="24"/>
          <w:szCs w:val="24"/>
        </w:rPr>
      </w:pPr>
      <w:r w:rsidRPr="0077310B">
        <w:rPr>
          <w:rFonts w:ascii="Calibri" w:eastAsia="Times" w:hAnsi="Calibri" w:cs="Calibri"/>
          <w:b/>
          <w:color w:val="0477AE"/>
          <w:sz w:val="24"/>
          <w:szCs w:val="24"/>
        </w:rPr>
        <w:t>Revenue:  $54 billion over 10 years;</w:t>
      </w:r>
      <w:r w:rsidR="00685E7F">
        <w:rPr>
          <w:rFonts w:ascii="Calibri" w:eastAsia="Times" w:hAnsi="Calibri" w:cs="Calibri"/>
          <w:b/>
          <w:color w:val="0477AE"/>
          <w:sz w:val="24"/>
          <w:szCs w:val="24"/>
        </w:rPr>
        <w:t xml:space="preserve"> Joint Committee on Taxation</w:t>
      </w:r>
    </w:p>
    <w:p w:rsidR="0077310B" w:rsidRDefault="0077310B" w:rsidP="0077310B">
      <w:pPr>
        <w:pStyle w:val="NormalWeb"/>
        <w:spacing w:before="0" w:beforeAutospacing="0" w:after="0" w:afterAutospacing="0"/>
        <w:ind w:left="720"/>
        <w:rPr>
          <w:rFonts w:ascii="Calibri" w:hAnsi="Calibri"/>
        </w:rPr>
      </w:pPr>
    </w:p>
    <w:p w:rsidR="0077310B" w:rsidRPr="00993E06" w:rsidRDefault="0077310B" w:rsidP="0077310B">
      <w:pPr>
        <w:pStyle w:val="NormalWeb"/>
        <w:spacing w:before="0" w:beforeAutospacing="0" w:after="0" w:afterAutospacing="0"/>
        <w:ind w:left="720"/>
        <w:rPr>
          <w:rFonts w:ascii="Calibri" w:hAnsi="Calibri"/>
        </w:rPr>
      </w:pPr>
      <w:r w:rsidRPr="00993E06">
        <w:rPr>
          <w:rFonts w:ascii="Calibri" w:hAnsi="Calibri"/>
        </w:rPr>
        <w:t xml:space="preserve">Closing the various loopholes that enable the very wealthy to shield income from taxation is good tax policy.  But until that job is done, the “Buffett rule” (named after Warren Buffett, the billionaire who famously said he shouldn’t pay a lower effective income tax rate than his secretary) will at least ensure that millionaires pay a tax rate equal to that of many middle-class families.  </w:t>
      </w:r>
    </w:p>
    <w:p w:rsidR="0077310B" w:rsidRDefault="0077310B" w:rsidP="0077310B">
      <w:pPr>
        <w:pStyle w:val="NormalWeb"/>
        <w:spacing w:before="0" w:beforeAutospacing="0" w:after="0" w:afterAutospacing="0"/>
        <w:ind w:left="720"/>
        <w:rPr>
          <w:rFonts w:ascii="Calibri" w:hAnsi="Calibri"/>
        </w:rPr>
      </w:pPr>
    </w:p>
    <w:p w:rsidR="0077310B" w:rsidRPr="00993E06" w:rsidRDefault="0077310B" w:rsidP="0077310B">
      <w:pPr>
        <w:pStyle w:val="NormalWeb"/>
        <w:spacing w:before="0" w:beforeAutospacing="0" w:after="0" w:afterAutospacing="0"/>
        <w:ind w:left="720"/>
        <w:rPr>
          <w:rFonts w:ascii="Calibri" w:hAnsi="Calibri"/>
        </w:rPr>
      </w:pPr>
      <w:r w:rsidRPr="00993E06">
        <w:rPr>
          <w:rFonts w:ascii="Calibri" w:hAnsi="Calibri"/>
        </w:rPr>
        <w:t>Senator Sheldon Whitehouse has introduced legislation</w:t>
      </w:r>
      <w:r>
        <w:rPr>
          <w:rFonts w:ascii="Calibri" w:hAnsi="Calibri"/>
        </w:rPr>
        <w:t xml:space="preserve">, </w:t>
      </w:r>
      <w:r w:rsidRPr="00993E06">
        <w:rPr>
          <w:rFonts w:ascii="Calibri" w:hAnsi="Calibri"/>
        </w:rPr>
        <w:t>S. 278, that would require taxpayers earning over $2 million to pay at least a 30 percent effective federal income tax rate.  The minimum tax would begin to phase in at $1 million.  This measure is estimated to raise $53.6 billion over 10 years).</w:t>
      </w:r>
      <w:r w:rsidRPr="00993E06">
        <w:rPr>
          <w:rStyle w:val="EndnoteReference"/>
          <w:rFonts w:ascii="Calibri" w:hAnsi="Calibri"/>
        </w:rPr>
        <w:endnoteReference w:id="45"/>
      </w:r>
    </w:p>
    <w:p w:rsidR="0077310B" w:rsidRDefault="0077310B" w:rsidP="0077310B">
      <w:pPr>
        <w:pStyle w:val="ListParagraph"/>
        <w:spacing w:after="0" w:line="240" w:lineRule="auto"/>
        <w:rPr>
          <w:rFonts w:eastAsia="Times New Roman" w:cs="Times New Roman"/>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Close the “Like-Kind” Exchange Loophole</w:t>
      </w:r>
    </w:p>
    <w:p w:rsidR="00B572B4" w:rsidRPr="00C66723" w:rsidRDefault="00B572B4"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 xml:space="preserve">Revenue: $28 billion over 10 years; </w:t>
      </w:r>
      <w:r w:rsidR="003867AC">
        <w:rPr>
          <w:rFonts w:ascii="Calibri" w:eastAsia="Times" w:hAnsi="Calibri" w:cs="Calibri"/>
          <w:b/>
          <w:color w:val="0477AE"/>
          <w:sz w:val="24"/>
          <w:szCs w:val="24"/>
        </w:rPr>
        <w:t>Citizens for Tax Justice</w:t>
      </w:r>
    </w:p>
    <w:p w:rsidR="00B572B4" w:rsidRPr="003D5A57" w:rsidRDefault="00B572B4" w:rsidP="00B572B4">
      <w:pPr>
        <w:pStyle w:val="ListParagraph"/>
        <w:spacing w:line="240" w:lineRule="auto"/>
        <w:rPr>
          <w:rFonts w:eastAsia="Times New Roman" w:cs="Times New Roman"/>
          <w:b/>
          <w:sz w:val="24"/>
          <w:szCs w:val="24"/>
        </w:rPr>
      </w:pPr>
    </w:p>
    <w:p w:rsidR="00B572B4" w:rsidRPr="00F2694D" w:rsidRDefault="00B572B4" w:rsidP="00B572B4">
      <w:pPr>
        <w:pStyle w:val="ListParagraph"/>
        <w:spacing w:line="240" w:lineRule="auto"/>
        <w:rPr>
          <w:rFonts w:eastAsia="Times New Roman" w:cs="Times New Roman"/>
          <w:sz w:val="24"/>
          <w:szCs w:val="24"/>
          <w:vertAlign w:val="superscript"/>
        </w:rPr>
      </w:pPr>
      <w:r w:rsidRPr="00764310">
        <w:rPr>
          <w:rFonts w:eastAsia="Times New Roman" w:cs="Times New Roman"/>
          <w:sz w:val="24"/>
          <w:szCs w:val="24"/>
        </w:rPr>
        <w:t xml:space="preserve">Real-estate investors and multinational corporations have </w:t>
      </w:r>
      <w:r>
        <w:rPr>
          <w:rFonts w:eastAsia="Times New Roman" w:cs="Times New Roman"/>
          <w:sz w:val="24"/>
          <w:szCs w:val="24"/>
        </w:rPr>
        <w:t>exploited</w:t>
      </w:r>
      <w:r w:rsidRPr="00764310">
        <w:rPr>
          <w:rFonts w:eastAsia="Times New Roman" w:cs="Times New Roman"/>
          <w:sz w:val="24"/>
          <w:szCs w:val="24"/>
        </w:rPr>
        <w:t xml:space="preserve"> a tax break </w:t>
      </w:r>
      <w:r>
        <w:rPr>
          <w:rFonts w:eastAsia="Times New Roman" w:cs="Times New Roman"/>
          <w:sz w:val="24"/>
          <w:szCs w:val="24"/>
        </w:rPr>
        <w:t>(</w:t>
      </w:r>
      <w:r w:rsidRPr="00764310">
        <w:rPr>
          <w:rFonts w:eastAsia="Times New Roman" w:cs="Times New Roman"/>
          <w:sz w:val="24"/>
          <w:szCs w:val="24"/>
        </w:rPr>
        <w:t>“like-kind exchanges”</w:t>
      </w:r>
      <w:r>
        <w:rPr>
          <w:rFonts w:eastAsia="Times New Roman" w:cs="Times New Roman"/>
          <w:sz w:val="24"/>
          <w:szCs w:val="24"/>
        </w:rPr>
        <w:t xml:space="preserve">) originally </w:t>
      </w:r>
      <w:r w:rsidRPr="00764310">
        <w:rPr>
          <w:rFonts w:eastAsia="Times New Roman" w:cs="Times New Roman"/>
          <w:sz w:val="24"/>
          <w:szCs w:val="24"/>
        </w:rPr>
        <w:t>intended to enable farmers to exchange acreage</w:t>
      </w:r>
      <w:r>
        <w:rPr>
          <w:rFonts w:eastAsia="Times New Roman" w:cs="Times New Roman"/>
          <w:sz w:val="24"/>
          <w:szCs w:val="24"/>
        </w:rPr>
        <w:t>, transforming it</w:t>
      </w:r>
      <w:r w:rsidRPr="00764310">
        <w:rPr>
          <w:rFonts w:eastAsia="Times New Roman" w:cs="Times New Roman"/>
          <w:sz w:val="24"/>
          <w:szCs w:val="24"/>
        </w:rPr>
        <w:t xml:space="preserve"> into a multi-billion dollar loophole </w:t>
      </w:r>
      <w:r>
        <w:rPr>
          <w:rFonts w:eastAsia="Times New Roman" w:cs="Times New Roman"/>
          <w:sz w:val="24"/>
          <w:szCs w:val="24"/>
        </w:rPr>
        <w:t xml:space="preserve">that enables them to sell property at an appreciated price without paying capital gains taxes. </w:t>
      </w:r>
      <w:r w:rsidRPr="00F2694D">
        <w:rPr>
          <w:rFonts w:eastAsia="Times New Roman" w:cs="Times New Roman"/>
          <w:sz w:val="24"/>
          <w:szCs w:val="24"/>
        </w:rPr>
        <w:t>This loophole has been widely expl</w:t>
      </w:r>
      <w:r>
        <w:rPr>
          <w:rFonts w:eastAsia="Times New Roman" w:cs="Times New Roman"/>
          <w:sz w:val="24"/>
          <w:szCs w:val="24"/>
        </w:rPr>
        <w:t xml:space="preserve">oited by many giant companies, </w:t>
      </w:r>
      <w:r w:rsidRPr="00F2694D">
        <w:rPr>
          <w:rFonts w:eastAsia="Times New Roman" w:cs="Times New Roman"/>
          <w:sz w:val="24"/>
          <w:szCs w:val="24"/>
        </w:rPr>
        <w:t>including General Electric, Cendant and Wells Fargo.</w:t>
      </w:r>
      <w:r>
        <w:rPr>
          <w:rStyle w:val="EndnoteReference"/>
          <w:rFonts w:eastAsia="Times New Roman"/>
          <w:sz w:val="24"/>
          <w:szCs w:val="24"/>
        </w:rPr>
        <w:endnoteReference w:id="46"/>
      </w:r>
      <w:r w:rsidRPr="00F2694D">
        <w:rPr>
          <w:rFonts w:eastAsia="Times New Roman" w:cs="Times New Roman"/>
          <w:sz w:val="24"/>
          <w:szCs w:val="24"/>
          <w:vertAlign w:val="superscript"/>
        </w:rPr>
        <w:t xml:space="preserve"> </w:t>
      </w:r>
    </w:p>
    <w:p w:rsidR="00B572B4" w:rsidRDefault="00B572B4" w:rsidP="00B572B4">
      <w:pPr>
        <w:pStyle w:val="ListParagraph"/>
        <w:spacing w:line="240" w:lineRule="auto"/>
        <w:rPr>
          <w:rFonts w:eastAsia="Times New Roman" w:cs="Times New Roman"/>
          <w:sz w:val="24"/>
          <w:szCs w:val="24"/>
        </w:rPr>
      </w:pPr>
    </w:p>
    <w:p w:rsidR="00B572B4" w:rsidRDefault="00B572B4" w:rsidP="00B572B4">
      <w:pPr>
        <w:pStyle w:val="ListParagraph"/>
        <w:spacing w:line="240" w:lineRule="auto"/>
        <w:rPr>
          <w:rFonts w:eastAsia="Times New Roman" w:cs="Times New Roman"/>
          <w:sz w:val="24"/>
          <w:szCs w:val="24"/>
        </w:rPr>
      </w:pPr>
      <w:r>
        <w:rPr>
          <w:rFonts w:eastAsia="Times New Roman" w:cs="Times New Roman"/>
          <w:sz w:val="24"/>
          <w:szCs w:val="24"/>
        </w:rPr>
        <w:t>The revenue loss due to the “like-kind exchange” tax break is $94 billion over 10 years, according to the JCT.</w:t>
      </w:r>
      <w:r>
        <w:rPr>
          <w:rStyle w:val="EndnoteReference"/>
          <w:rFonts w:eastAsia="Times New Roman"/>
          <w:sz w:val="24"/>
          <w:szCs w:val="24"/>
        </w:rPr>
        <w:endnoteReference w:id="47"/>
      </w:r>
      <w:r>
        <w:rPr>
          <w:rFonts w:eastAsia="Times New Roman" w:cs="Times New Roman"/>
          <w:sz w:val="24"/>
          <w:szCs w:val="24"/>
        </w:rPr>
        <w:t xml:space="preserve"> Congress could eliminate like-kind exchanges entirely or restrict who can take advantage of them. </w:t>
      </w:r>
      <w:proofErr w:type="gramStart"/>
      <w:r>
        <w:rPr>
          <w:rFonts w:eastAsia="Times New Roman" w:cs="Times New Roman"/>
          <w:sz w:val="24"/>
          <w:szCs w:val="24"/>
        </w:rPr>
        <w:t>Citizens for Tax Justice estimates</w:t>
      </w:r>
      <w:proofErr w:type="gramEnd"/>
      <w:r>
        <w:rPr>
          <w:rFonts w:eastAsia="Times New Roman" w:cs="Times New Roman"/>
          <w:sz w:val="24"/>
          <w:szCs w:val="24"/>
        </w:rPr>
        <w:t xml:space="preserve"> that reforms could net about $28 billion over 10 years.</w:t>
      </w:r>
      <w:r>
        <w:rPr>
          <w:rStyle w:val="EndnoteReference"/>
          <w:rFonts w:eastAsia="Times New Roman"/>
          <w:sz w:val="24"/>
          <w:szCs w:val="24"/>
        </w:rPr>
        <w:endnoteReference w:id="48"/>
      </w:r>
      <w:r w:rsidRPr="00764310">
        <w:rPr>
          <w:rFonts w:eastAsia="Times New Roman" w:cs="Times New Roman"/>
          <w:sz w:val="24"/>
          <w:szCs w:val="24"/>
        </w:rPr>
        <w:t xml:space="preserve"> </w:t>
      </w:r>
    </w:p>
    <w:p w:rsidR="00B572B4" w:rsidRDefault="00B572B4" w:rsidP="00B572B4">
      <w:pPr>
        <w:pStyle w:val="ListParagraph"/>
        <w:spacing w:line="240" w:lineRule="auto"/>
        <w:ind w:left="1440"/>
        <w:rPr>
          <w:rFonts w:eastAsia="Times New Roman" w:cs="Times New Roman"/>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Close the “Carried Interest” Loophole for Multi-Millionaire Investment Fund Managers </w:t>
      </w:r>
    </w:p>
    <w:p w:rsidR="00B572B4" w:rsidRPr="00C66723" w:rsidRDefault="00B572B4"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Revenue: $17-21 billion over 10 years; Joint Committee on Taxation and Congressional Budget Office</w:t>
      </w:r>
    </w:p>
    <w:p w:rsidR="00B572B4" w:rsidRDefault="00B572B4" w:rsidP="00B572B4">
      <w:pPr>
        <w:pStyle w:val="ListParagraph"/>
        <w:spacing w:line="240" w:lineRule="auto"/>
        <w:rPr>
          <w:rFonts w:eastAsia="Times New Roman" w:cs="Times New Roman"/>
          <w:sz w:val="24"/>
          <w:szCs w:val="24"/>
        </w:rPr>
      </w:pPr>
    </w:p>
    <w:p w:rsidR="00B572B4" w:rsidRDefault="00B572B4" w:rsidP="00B572B4">
      <w:pPr>
        <w:pStyle w:val="ListParagraph"/>
        <w:spacing w:line="240" w:lineRule="auto"/>
        <w:rPr>
          <w:rFonts w:eastAsia="Times New Roman" w:cs="Times New Roman"/>
          <w:sz w:val="24"/>
          <w:szCs w:val="24"/>
        </w:rPr>
      </w:pPr>
      <w:r>
        <w:rPr>
          <w:rFonts w:eastAsia="Times New Roman" w:cs="Times New Roman"/>
          <w:sz w:val="24"/>
          <w:szCs w:val="24"/>
        </w:rPr>
        <w:t xml:space="preserve">Very wealthy private investment fund managers can </w:t>
      </w:r>
      <w:r w:rsidRPr="00764310">
        <w:rPr>
          <w:rFonts w:eastAsia="Times New Roman" w:cs="Times New Roman"/>
          <w:sz w:val="24"/>
          <w:szCs w:val="24"/>
        </w:rPr>
        <w:t xml:space="preserve">pay a lower tax rate on their earnings than </w:t>
      </w:r>
      <w:r>
        <w:rPr>
          <w:rFonts w:eastAsia="Times New Roman" w:cs="Times New Roman"/>
          <w:sz w:val="24"/>
          <w:szCs w:val="24"/>
        </w:rPr>
        <w:t xml:space="preserve">many </w:t>
      </w:r>
      <w:r w:rsidRPr="00764310">
        <w:rPr>
          <w:rFonts w:eastAsia="Times New Roman" w:cs="Times New Roman"/>
          <w:sz w:val="24"/>
          <w:szCs w:val="24"/>
        </w:rPr>
        <w:t xml:space="preserve">working Americans by </w:t>
      </w:r>
      <w:r>
        <w:rPr>
          <w:rFonts w:eastAsia="Times New Roman" w:cs="Times New Roman"/>
          <w:sz w:val="24"/>
          <w:szCs w:val="24"/>
        </w:rPr>
        <w:t xml:space="preserve">arranging to receive </w:t>
      </w:r>
      <w:r w:rsidRPr="00764310">
        <w:rPr>
          <w:rFonts w:eastAsia="Times New Roman" w:cs="Times New Roman"/>
          <w:sz w:val="24"/>
          <w:szCs w:val="24"/>
        </w:rPr>
        <w:t>the</w:t>
      </w:r>
      <w:r>
        <w:rPr>
          <w:rFonts w:eastAsia="Times New Roman" w:cs="Times New Roman"/>
          <w:sz w:val="24"/>
          <w:szCs w:val="24"/>
        </w:rPr>
        <w:t>ir</w:t>
      </w:r>
      <w:r w:rsidRPr="00764310">
        <w:rPr>
          <w:rFonts w:eastAsia="Times New Roman" w:cs="Times New Roman"/>
          <w:sz w:val="24"/>
          <w:szCs w:val="24"/>
        </w:rPr>
        <w:t xml:space="preserve"> compensation as a share of profits (</w:t>
      </w:r>
      <w:r>
        <w:rPr>
          <w:rFonts w:eastAsia="Times New Roman" w:cs="Times New Roman"/>
          <w:sz w:val="24"/>
          <w:szCs w:val="24"/>
        </w:rPr>
        <w:t>“</w:t>
      </w:r>
      <w:r w:rsidRPr="00764310">
        <w:rPr>
          <w:rFonts w:eastAsia="Times New Roman" w:cs="Times New Roman"/>
          <w:sz w:val="24"/>
          <w:szCs w:val="24"/>
        </w:rPr>
        <w:t>carried interests</w:t>
      </w:r>
      <w:r>
        <w:rPr>
          <w:rFonts w:eastAsia="Times New Roman" w:cs="Times New Roman"/>
          <w:sz w:val="24"/>
          <w:szCs w:val="24"/>
        </w:rPr>
        <w:t>”</w:t>
      </w:r>
      <w:r w:rsidRPr="00764310">
        <w:rPr>
          <w:rFonts w:eastAsia="Times New Roman" w:cs="Times New Roman"/>
          <w:sz w:val="24"/>
          <w:szCs w:val="24"/>
        </w:rPr>
        <w:t>)</w:t>
      </w:r>
      <w:r>
        <w:rPr>
          <w:rFonts w:eastAsia="Times New Roman" w:cs="Times New Roman"/>
          <w:sz w:val="24"/>
          <w:szCs w:val="24"/>
        </w:rPr>
        <w:t>, so it is taxed at preferential</w:t>
      </w:r>
      <w:r w:rsidRPr="00764310">
        <w:rPr>
          <w:rFonts w:eastAsia="Times New Roman" w:cs="Times New Roman"/>
          <w:sz w:val="24"/>
          <w:szCs w:val="24"/>
        </w:rPr>
        <w:t xml:space="preserve"> capital gains </w:t>
      </w:r>
      <w:r>
        <w:rPr>
          <w:rFonts w:eastAsia="Times New Roman" w:cs="Times New Roman"/>
          <w:sz w:val="24"/>
          <w:szCs w:val="24"/>
        </w:rPr>
        <w:t xml:space="preserve">rates. This income represents compensation for managing other people’s investments, and should be taxed in the same manner as wages and salaries from all other jobs – as ordinary </w:t>
      </w:r>
      <w:r>
        <w:rPr>
          <w:rFonts w:eastAsia="Times New Roman" w:cs="Times New Roman"/>
          <w:sz w:val="24"/>
          <w:szCs w:val="24"/>
        </w:rPr>
        <w:lastRenderedPageBreak/>
        <w:t>income</w:t>
      </w:r>
      <w:r w:rsidRPr="00EA2399">
        <w:rPr>
          <w:rFonts w:eastAsia="Times New Roman" w:cs="Times New Roman"/>
          <w:sz w:val="24"/>
          <w:szCs w:val="24"/>
        </w:rPr>
        <w:t>. Closing this</w:t>
      </w:r>
      <w:r>
        <w:rPr>
          <w:rFonts w:eastAsia="Times New Roman" w:cs="Times New Roman"/>
          <w:sz w:val="24"/>
          <w:szCs w:val="24"/>
        </w:rPr>
        <w:t xml:space="preserve"> loophole would save between $17 billion and $21 billion over 10 years respectively, according to the JCT and CBO.</w:t>
      </w:r>
      <w:r>
        <w:rPr>
          <w:rStyle w:val="EndnoteReference"/>
          <w:rFonts w:eastAsia="Times New Roman"/>
          <w:sz w:val="24"/>
          <w:szCs w:val="24"/>
        </w:rPr>
        <w:endnoteReference w:id="49"/>
      </w:r>
    </w:p>
    <w:p w:rsidR="00B572B4" w:rsidRDefault="00B572B4" w:rsidP="00B572B4">
      <w:pPr>
        <w:spacing w:after="0" w:line="240" w:lineRule="auto"/>
        <w:ind w:left="720"/>
        <w:rPr>
          <w:rFonts w:eastAsia="Times" w:cs="Calibri"/>
          <w:sz w:val="24"/>
          <w:szCs w:val="24"/>
        </w:rPr>
      </w:pPr>
      <w:r w:rsidRPr="00D814E8">
        <w:rPr>
          <w:rFonts w:ascii="Calibri" w:eastAsia="Times" w:hAnsi="Calibri" w:cs="Calibri"/>
          <w:b/>
          <w:color w:val="0477AE"/>
          <w:sz w:val="24"/>
          <w:szCs w:val="24"/>
        </w:rPr>
        <w:t>Public opinion on this tax reform option</w:t>
      </w:r>
    </w:p>
    <w:p w:rsidR="00B572B4" w:rsidRPr="007128D9" w:rsidRDefault="00B572B4" w:rsidP="002D1189">
      <w:pPr>
        <w:spacing w:after="0" w:line="240" w:lineRule="auto"/>
        <w:ind w:left="720"/>
        <w:rPr>
          <w:rFonts w:eastAsia="Times" w:cs="Calibri"/>
          <w:sz w:val="24"/>
          <w:szCs w:val="24"/>
        </w:rPr>
      </w:pPr>
      <w:r w:rsidRPr="007128D9">
        <w:rPr>
          <w:rFonts w:eastAsia="Times" w:cs="Calibri"/>
          <w:sz w:val="24"/>
          <w:szCs w:val="24"/>
        </w:rPr>
        <w:t xml:space="preserve">By a margin </w:t>
      </w:r>
      <w:r>
        <w:rPr>
          <w:rFonts w:eastAsia="Times" w:cs="Calibri"/>
          <w:sz w:val="24"/>
          <w:szCs w:val="24"/>
        </w:rPr>
        <w:t>of 75% to 20%, voters want to “E</w:t>
      </w:r>
      <w:r w:rsidRPr="007128D9">
        <w:rPr>
          <w:rFonts w:eastAsia="Times" w:cs="Calibri"/>
          <w:sz w:val="24"/>
          <w:szCs w:val="24"/>
        </w:rPr>
        <w:t>liminate the loophole that allows hedge</w:t>
      </w:r>
      <w:r>
        <w:rPr>
          <w:rFonts w:eastAsia="Times" w:cs="Calibri"/>
          <w:sz w:val="24"/>
          <w:szCs w:val="24"/>
        </w:rPr>
        <w:t xml:space="preserve"> </w:t>
      </w:r>
      <w:r w:rsidRPr="007128D9">
        <w:rPr>
          <w:rFonts w:eastAsia="Times" w:cs="Calibri"/>
          <w:sz w:val="24"/>
          <w:szCs w:val="24"/>
        </w:rPr>
        <w:t>fund managers to pay a lower tax rate than middle-class taxpayers.”</w:t>
      </w:r>
    </w:p>
    <w:p w:rsidR="00C250AC" w:rsidRDefault="0058300F" w:rsidP="00C250AC">
      <w:pPr>
        <w:autoSpaceDE w:val="0"/>
        <w:autoSpaceDN w:val="0"/>
        <w:adjustRightInd w:val="0"/>
        <w:spacing w:after="0" w:line="240" w:lineRule="auto"/>
        <w:ind w:left="720"/>
        <w:rPr>
          <w:rFonts w:cs="Calibri"/>
          <w:sz w:val="24"/>
          <w:szCs w:val="24"/>
        </w:rPr>
      </w:pPr>
      <w:hyperlink r:id="rId21" w:history="1">
        <w:r w:rsidR="00C250AC" w:rsidRPr="00A220E7">
          <w:rPr>
            <w:rStyle w:val="Hyperlink"/>
            <w:rFonts w:cs="Calibri"/>
            <w:sz w:val="24"/>
            <w:szCs w:val="24"/>
          </w:rPr>
          <w:t>Hart Research Associates Poll</w:t>
        </w:r>
      </w:hyperlink>
      <w:r w:rsidR="00C250AC" w:rsidRPr="00B6104F">
        <w:rPr>
          <w:rFonts w:cs="Calibri"/>
          <w:sz w:val="24"/>
          <w:szCs w:val="24"/>
        </w:rPr>
        <w:t xml:space="preserve">, Jan. 18-22, 2013, </w:t>
      </w:r>
      <w:r w:rsidR="00C250AC">
        <w:rPr>
          <w:rFonts w:cs="Calibri"/>
          <w:sz w:val="24"/>
          <w:szCs w:val="24"/>
        </w:rPr>
        <w:t xml:space="preserve">Q. </w:t>
      </w:r>
      <w:r w:rsidR="00C250AC" w:rsidRPr="00B6104F">
        <w:rPr>
          <w:rFonts w:cs="Calibri"/>
          <w:sz w:val="24"/>
          <w:szCs w:val="24"/>
        </w:rPr>
        <w:t>12</w:t>
      </w:r>
    </w:p>
    <w:p w:rsidR="00B572B4" w:rsidRDefault="00B572B4" w:rsidP="00B572B4">
      <w:pPr>
        <w:pStyle w:val="ListParagraph"/>
        <w:spacing w:line="240" w:lineRule="auto"/>
        <w:ind w:left="1440"/>
        <w:rPr>
          <w:rFonts w:eastAsia="Times New Roman" w:cs="Times New Roman"/>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Eliminate the  Medicare Tax Loophole for S Corporations</w:t>
      </w:r>
    </w:p>
    <w:p w:rsidR="00B572B4" w:rsidRDefault="00B572B4" w:rsidP="00C66723">
      <w:pPr>
        <w:pStyle w:val="ListParagraph"/>
        <w:spacing w:after="0" w:line="240" w:lineRule="auto"/>
        <w:rPr>
          <w:b/>
          <w:sz w:val="24"/>
          <w:szCs w:val="24"/>
        </w:rPr>
      </w:pPr>
      <w:r w:rsidRPr="00C66723">
        <w:rPr>
          <w:rFonts w:ascii="Calibri" w:eastAsia="Times" w:hAnsi="Calibri" w:cs="Calibri"/>
          <w:b/>
          <w:color w:val="0477AE"/>
          <w:sz w:val="24"/>
          <w:szCs w:val="24"/>
        </w:rPr>
        <w:t>Revenue: $11 billion over 10 years; Joint Committee on Taxation</w:t>
      </w:r>
    </w:p>
    <w:p w:rsidR="00B572B4" w:rsidRDefault="00B572B4" w:rsidP="00B572B4">
      <w:pPr>
        <w:shd w:val="clear" w:color="auto" w:fill="FFFFFF"/>
        <w:spacing w:after="0" w:line="240" w:lineRule="auto"/>
        <w:ind w:left="720"/>
        <w:textAlignment w:val="baseline"/>
        <w:rPr>
          <w:rFonts w:ascii="Calibri" w:eastAsia="Times New Roman" w:hAnsi="Calibri" w:cs="Calibri"/>
          <w:color w:val="333333"/>
          <w:sz w:val="24"/>
          <w:szCs w:val="24"/>
        </w:rPr>
      </w:pPr>
    </w:p>
    <w:p w:rsidR="00B572B4" w:rsidRDefault="00B572B4" w:rsidP="00B572B4">
      <w:pPr>
        <w:shd w:val="clear" w:color="auto" w:fill="FFFFFF"/>
        <w:spacing w:after="0" w:line="240" w:lineRule="auto"/>
        <w:ind w:left="720"/>
        <w:textAlignment w:val="baseline"/>
        <w:rPr>
          <w:rFonts w:ascii="Calibri" w:eastAsia="Times New Roman" w:hAnsi="Calibri" w:cs="Calibri"/>
          <w:color w:val="333333"/>
          <w:sz w:val="24"/>
          <w:szCs w:val="24"/>
        </w:rPr>
      </w:pPr>
      <w:r w:rsidRPr="00D10BF6">
        <w:rPr>
          <w:rFonts w:ascii="Calibri" w:eastAsia="Times New Roman" w:hAnsi="Calibri" w:cs="Calibri"/>
          <w:color w:val="333333"/>
          <w:sz w:val="24"/>
          <w:szCs w:val="24"/>
        </w:rPr>
        <w:t>Certain highly paid professionals sometimes take advantage of a tax loophole made infamous by former Speaker of the House Newt Gingrich (R-GA) and former Sen. John Edwards (D-NC). These professionals</w:t>
      </w:r>
      <w:r>
        <w:rPr>
          <w:rFonts w:ascii="Calibri" w:eastAsia="Times New Roman" w:hAnsi="Calibri" w:cs="Calibri"/>
          <w:color w:val="333333"/>
          <w:sz w:val="24"/>
          <w:szCs w:val="24"/>
        </w:rPr>
        <w:t xml:space="preserve"> – </w:t>
      </w:r>
      <w:r w:rsidRPr="00D10BF6">
        <w:rPr>
          <w:rFonts w:ascii="Calibri" w:eastAsia="Times New Roman" w:hAnsi="Calibri" w:cs="Calibri"/>
          <w:color w:val="333333"/>
          <w:sz w:val="24"/>
          <w:szCs w:val="24"/>
        </w:rPr>
        <w:t>lawyers, accountants, doctors, consultants, and entertainment professionals</w:t>
      </w:r>
      <w:r>
        <w:rPr>
          <w:rFonts w:ascii="Calibri" w:eastAsia="Times New Roman" w:hAnsi="Calibri" w:cs="Calibri"/>
          <w:color w:val="333333"/>
          <w:sz w:val="24"/>
          <w:szCs w:val="24"/>
        </w:rPr>
        <w:t xml:space="preserve"> – </w:t>
      </w:r>
      <w:r w:rsidRPr="00D10BF6">
        <w:rPr>
          <w:rFonts w:ascii="Calibri" w:eastAsia="Times New Roman" w:hAnsi="Calibri" w:cs="Calibri"/>
          <w:color w:val="333333"/>
          <w:sz w:val="24"/>
          <w:szCs w:val="24"/>
        </w:rPr>
        <w:t xml:space="preserve">form “S corporations,” whose profits are not subject to Medicare taxes and who characterize much of their income as profits of the business instead of salaries. Regular wage-earners can’t do this, and neither can the owners of other kinds of small businesses. Government watchdogs have flagged the S corporation loophole as an area of rampant abuse. Legislation introduced in the House and </w:t>
      </w:r>
      <w:r>
        <w:rPr>
          <w:rFonts w:ascii="Calibri" w:eastAsia="Times New Roman" w:hAnsi="Calibri" w:cs="Calibri"/>
          <w:color w:val="333333"/>
          <w:sz w:val="24"/>
          <w:szCs w:val="24"/>
        </w:rPr>
        <w:t xml:space="preserve">in the </w:t>
      </w:r>
      <w:r w:rsidRPr="00D10BF6">
        <w:rPr>
          <w:rFonts w:ascii="Calibri" w:eastAsia="Times New Roman" w:hAnsi="Calibri" w:cs="Calibri"/>
          <w:color w:val="333333"/>
          <w:sz w:val="24"/>
          <w:szCs w:val="24"/>
        </w:rPr>
        <w:t>Senate</w:t>
      </w:r>
      <w:r>
        <w:rPr>
          <w:rFonts w:ascii="Calibri" w:eastAsia="Times New Roman" w:hAnsi="Calibri" w:cs="Calibri"/>
          <w:color w:val="333333"/>
          <w:sz w:val="24"/>
          <w:szCs w:val="24"/>
        </w:rPr>
        <w:t xml:space="preserve"> in recent years </w:t>
      </w:r>
      <w:r w:rsidRPr="00D10BF6">
        <w:rPr>
          <w:rFonts w:ascii="Calibri" w:eastAsia="Times New Roman" w:hAnsi="Calibri" w:cs="Calibri"/>
          <w:color w:val="333333"/>
          <w:sz w:val="24"/>
          <w:szCs w:val="24"/>
        </w:rPr>
        <w:t>would shut down this loophole, requiring these well-heeled professionals to pay their fair share into Medicare</w:t>
      </w:r>
      <w:r>
        <w:rPr>
          <w:rFonts w:ascii="Calibri" w:eastAsia="Times New Roman" w:hAnsi="Calibri" w:cs="Calibri"/>
          <w:color w:val="333333"/>
          <w:sz w:val="24"/>
          <w:szCs w:val="24"/>
        </w:rPr>
        <w:t>. Closing this loophole has been estimated to</w:t>
      </w:r>
      <w:r w:rsidRPr="00D10BF6">
        <w:rPr>
          <w:rFonts w:ascii="Calibri" w:eastAsia="Times New Roman" w:hAnsi="Calibri" w:cs="Calibri"/>
          <w:color w:val="333333"/>
          <w:sz w:val="24"/>
          <w:szCs w:val="24"/>
        </w:rPr>
        <w:t xml:space="preserve"> raise $11 billion over 10 years</w:t>
      </w:r>
      <w:r>
        <w:rPr>
          <w:rFonts w:ascii="Calibri" w:eastAsia="Times New Roman" w:hAnsi="Calibri" w:cs="Calibri"/>
          <w:color w:val="333333"/>
          <w:sz w:val="24"/>
          <w:szCs w:val="24"/>
        </w:rPr>
        <w:t>, according to the JCT</w:t>
      </w:r>
      <w:r w:rsidRPr="00D10BF6">
        <w:rPr>
          <w:rFonts w:ascii="Calibri" w:eastAsia="Times New Roman" w:hAnsi="Calibri" w:cs="Calibri"/>
          <w:color w:val="333333"/>
          <w:sz w:val="24"/>
          <w:szCs w:val="24"/>
        </w:rPr>
        <w:t>.</w:t>
      </w:r>
      <w:r>
        <w:rPr>
          <w:rStyle w:val="EndnoteReference"/>
          <w:rFonts w:ascii="Calibri" w:eastAsia="Times New Roman" w:hAnsi="Calibri"/>
          <w:color w:val="333333"/>
          <w:sz w:val="24"/>
          <w:szCs w:val="24"/>
        </w:rPr>
        <w:endnoteReference w:id="50"/>
      </w:r>
      <w:r>
        <w:rPr>
          <w:rFonts w:ascii="Calibri" w:eastAsia="Times New Roman" w:hAnsi="Calibri" w:cs="Calibri"/>
          <w:color w:val="333333"/>
          <w:sz w:val="24"/>
          <w:szCs w:val="24"/>
        </w:rPr>
        <w:t xml:space="preserve"> </w:t>
      </w:r>
    </w:p>
    <w:p w:rsidR="00B572B4" w:rsidRPr="00D10BF6" w:rsidRDefault="00B572B4" w:rsidP="00B572B4">
      <w:pPr>
        <w:shd w:val="clear" w:color="auto" w:fill="FFFFFF"/>
        <w:spacing w:after="0" w:line="240" w:lineRule="auto"/>
        <w:ind w:left="720"/>
        <w:textAlignment w:val="baseline"/>
        <w:rPr>
          <w:rFonts w:ascii="Calibri" w:eastAsia="Times New Roman" w:hAnsi="Calibri" w:cs="Calibri"/>
          <w:color w:val="333333"/>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t xml:space="preserve">Deny Mortgage Interest Deduction for Vacation Homes and Yachts </w:t>
      </w:r>
    </w:p>
    <w:p w:rsidR="00B572B4" w:rsidRPr="00C66723" w:rsidRDefault="00B572B4" w:rsidP="00B572B4">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Revenue: $15 billion over 10 years; Committee for a Responsible Federal Budget</w:t>
      </w:r>
    </w:p>
    <w:p w:rsidR="00B572B4" w:rsidRDefault="00B572B4" w:rsidP="00B572B4">
      <w:pPr>
        <w:pStyle w:val="ListParagraph"/>
        <w:shd w:val="clear" w:color="auto" w:fill="FFFFFF"/>
        <w:spacing w:before="100" w:beforeAutospacing="1" w:after="0" w:line="240" w:lineRule="auto"/>
        <w:textAlignment w:val="baseline"/>
        <w:rPr>
          <w:rFonts w:ascii="Calibri" w:eastAsia="Times New Roman" w:hAnsi="Calibri" w:cs="Calibri"/>
          <w:color w:val="333333"/>
          <w:sz w:val="24"/>
          <w:szCs w:val="24"/>
        </w:rPr>
      </w:pPr>
    </w:p>
    <w:p w:rsidR="00B572B4" w:rsidRPr="00AD2B07" w:rsidRDefault="00B572B4" w:rsidP="00B572B4">
      <w:pPr>
        <w:pStyle w:val="ListParagraph"/>
        <w:shd w:val="clear" w:color="auto" w:fill="FFFFFF"/>
        <w:spacing w:before="100" w:beforeAutospacing="1" w:after="0" w:line="240" w:lineRule="auto"/>
        <w:textAlignment w:val="baseline"/>
        <w:rPr>
          <w:rFonts w:ascii="Calibri" w:eastAsia="Times New Roman" w:hAnsi="Calibri" w:cs="Calibri"/>
          <w:color w:val="333333"/>
          <w:sz w:val="24"/>
          <w:szCs w:val="24"/>
        </w:rPr>
      </w:pPr>
      <w:r w:rsidRPr="00AD2B07">
        <w:rPr>
          <w:rFonts w:ascii="Calibri" w:eastAsia="Times New Roman" w:hAnsi="Calibri" w:cs="Calibri"/>
          <w:color w:val="333333"/>
          <w:sz w:val="24"/>
          <w:szCs w:val="24"/>
        </w:rPr>
        <w:t xml:space="preserve">The mortgage interest deduction is intended to promote homeownership, but the tax code allows people to claim it not only on one property but </w:t>
      </w:r>
      <w:r>
        <w:rPr>
          <w:rFonts w:ascii="Calibri" w:eastAsia="Times New Roman" w:hAnsi="Calibri" w:cs="Calibri"/>
          <w:color w:val="333333"/>
          <w:sz w:val="24"/>
          <w:szCs w:val="24"/>
        </w:rPr>
        <w:t xml:space="preserve">on </w:t>
      </w:r>
      <w:r w:rsidRPr="00AD2B07">
        <w:rPr>
          <w:rFonts w:ascii="Calibri" w:eastAsia="Times New Roman" w:hAnsi="Calibri" w:cs="Calibri"/>
          <w:color w:val="333333"/>
          <w:sz w:val="24"/>
          <w:szCs w:val="24"/>
        </w:rPr>
        <w:t>two. Moreover, under current Internal Revenue Service rules, a second home doesn’t have to be a house</w:t>
      </w:r>
      <w:r>
        <w:rPr>
          <w:rFonts w:ascii="Calibri" w:eastAsia="Times New Roman" w:hAnsi="Calibri" w:cs="Calibri"/>
          <w:color w:val="333333"/>
          <w:sz w:val="24"/>
          <w:szCs w:val="24"/>
        </w:rPr>
        <w:t xml:space="preserve"> – </w:t>
      </w:r>
      <w:r w:rsidRPr="00AD2B07">
        <w:rPr>
          <w:rFonts w:ascii="Calibri" w:eastAsia="Times New Roman" w:hAnsi="Calibri" w:cs="Calibri"/>
          <w:color w:val="333333"/>
          <w:sz w:val="24"/>
          <w:szCs w:val="24"/>
        </w:rPr>
        <w:t>it can be a large boat, too. Under the rules, boats can qualify as second homes eligible for the tax break as long as they contain sleeping spaces, bathrooms (heads), and kitchens (galleys). In other words, only large boats qualify.</w:t>
      </w:r>
    </w:p>
    <w:p w:rsidR="00B572B4" w:rsidRDefault="00B572B4" w:rsidP="00B572B4">
      <w:pPr>
        <w:pStyle w:val="ListParagraph"/>
        <w:shd w:val="clear" w:color="auto" w:fill="FFFFFF"/>
        <w:spacing w:before="100" w:beforeAutospacing="1" w:after="100" w:afterAutospacing="1" w:line="240" w:lineRule="auto"/>
        <w:textAlignment w:val="baseline"/>
        <w:rPr>
          <w:rFonts w:ascii="Calibri" w:eastAsia="Times New Roman" w:hAnsi="Calibri" w:cs="Calibri"/>
          <w:color w:val="333333"/>
          <w:sz w:val="24"/>
          <w:szCs w:val="24"/>
        </w:rPr>
      </w:pPr>
    </w:p>
    <w:p w:rsidR="009B4C4A" w:rsidRPr="00C54D0C" w:rsidRDefault="00B572B4" w:rsidP="009B4C4A">
      <w:pPr>
        <w:pStyle w:val="ListParagraph"/>
        <w:spacing w:line="240" w:lineRule="auto"/>
        <w:rPr>
          <w:rFonts w:eastAsia="Times New Roman" w:cs="Times New Roman"/>
          <w:sz w:val="24"/>
          <w:szCs w:val="24"/>
        </w:rPr>
      </w:pPr>
      <w:r w:rsidRPr="00AD2B07">
        <w:rPr>
          <w:rFonts w:ascii="Calibri" w:eastAsia="Times New Roman" w:hAnsi="Calibri" w:cs="Calibri"/>
          <w:color w:val="333333"/>
          <w:sz w:val="24"/>
          <w:szCs w:val="24"/>
        </w:rPr>
        <w:t xml:space="preserve">This is a perfect illustration of how a tax break intended to help middle-class people afford homes winds up subsidizing lavish lifestyles and costing more than it should. It makes little sense to maintain tax breaks on vacation properties or yachts while regular homeowners who can’t afford such luxuries can claim only a deduction on one home and renters receive no deduction at all, especially at a time when budget constraints have put federal housing programs at risk. </w:t>
      </w:r>
      <w:r>
        <w:rPr>
          <w:rFonts w:ascii="Calibri" w:eastAsia="Times New Roman" w:hAnsi="Calibri" w:cs="Calibri"/>
          <w:color w:val="333333"/>
          <w:sz w:val="24"/>
          <w:szCs w:val="24"/>
        </w:rPr>
        <w:t>L</w:t>
      </w:r>
      <w:r w:rsidRPr="00AD2B07">
        <w:rPr>
          <w:rFonts w:ascii="Calibri" w:eastAsia="Times New Roman" w:hAnsi="Calibri" w:cs="Calibri"/>
          <w:color w:val="333333"/>
          <w:sz w:val="24"/>
          <w:szCs w:val="24"/>
        </w:rPr>
        <w:t xml:space="preserve">imiting the mortgage interest deduction to primary residences </w:t>
      </w:r>
      <w:r>
        <w:rPr>
          <w:rFonts w:ascii="Calibri" w:eastAsia="Times New Roman" w:hAnsi="Calibri" w:cs="Calibri"/>
          <w:color w:val="333333"/>
          <w:sz w:val="24"/>
          <w:szCs w:val="24"/>
        </w:rPr>
        <w:t>c</w:t>
      </w:r>
      <w:r w:rsidRPr="00AD2B07">
        <w:rPr>
          <w:rFonts w:ascii="Calibri" w:eastAsia="Times New Roman" w:hAnsi="Calibri" w:cs="Calibri"/>
          <w:color w:val="333333"/>
          <w:sz w:val="24"/>
          <w:szCs w:val="24"/>
        </w:rPr>
        <w:t>ould raise $1</w:t>
      </w:r>
      <w:r>
        <w:rPr>
          <w:rFonts w:ascii="Calibri" w:eastAsia="Times New Roman" w:hAnsi="Calibri" w:cs="Calibri"/>
          <w:color w:val="333333"/>
          <w:sz w:val="24"/>
          <w:szCs w:val="24"/>
        </w:rPr>
        <w:t>5</w:t>
      </w:r>
      <w:r w:rsidRPr="00AD2B07">
        <w:rPr>
          <w:rFonts w:ascii="Calibri" w:eastAsia="Times New Roman" w:hAnsi="Calibri" w:cs="Calibri"/>
          <w:color w:val="333333"/>
          <w:sz w:val="24"/>
          <w:szCs w:val="24"/>
        </w:rPr>
        <w:t xml:space="preserve"> billion over 10 years.</w:t>
      </w:r>
      <w:r>
        <w:rPr>
          <w:rStyle w:val="EndnoteReference"/>
          <w:rFonts w:ascii="Calibri" w:eastAsia="Times New Roman" w:hAnsi="Calibri"/>
          <w:color w:val="333333"/>
          <w:sz w:val="24"/>
          <w:szCs w:val="24"/>
        </w:rPr>
        <w:endnoteReference w:id="51"/>
      </w:r>
      <w:r>
        <w:rPr>
          <w:rFonts w:ascii="Calibri" w:eastAsia="Times New Roman" w:hAnsi="Calibri" w:cs="Calibri"/>
          <w:color w:val="333333"/>
          <w:sz w:val="24"/>
          <w:szCs w:val="24"/>
        </w:rPr>
        <w:t xml:space="preserve"> </w:t>
      </w:r>
      <w:r w:rsidR="009B4C4A">
        <w:rPr>
          <w:rFonts w:eastAsia="Times New Roman" w:cs="Times New Roman"/>
          <w:color w:val="000000"/>
          <w:sz w:val="24"/>
          <w:szCs w:val="24"/>
        </w:rPr>
        <w:t xml:space="preserve">The deficit-reduction proposal made by Erskine Bowles and Alan Simpson, under the auspices of the </w:t>
      </w:r>
      <w:r w:rsidR="009B4C4A" w:rsidRPr="00213588">
        <w:rPr>
          <w:rFonts w:eastAsia="Times New Roman" w:cs="Times New Roman"/>
          <w:color w:val="000000"/>
          <w:sz w:val="24"/>
          <w:szCs w:val="24"/>
        </w:rPr>
        <w:t xml:space="preserve">National Commission </w:t>
      </w:r>
      <w:r w:rsidR="009B4C4A">
        <w:rPr>
          <w:rFonts w:eastAsia="Times New Roman" w:cs="Times New Roman"/>
          <w:color w:val="000000"/>
          <w:sz w:val="24"/>
          <w:szCs w:val="24"/>
        </w:rPr>
        <w:t>o</w:t>
      </w:r>
      <w:r w:rsidR="009B4C4A" w:rsidRPr="00213588">
        <w:rPr>
          <w:rFonts w:eastAsia="Times New Roman" w:cs="Times New Roman"/>
          <w:color w:val="000000"/>
          <w:sz w:val="24"/>
          <w:szCs w:val="24"/>
        </w:rPr>
        <w:t>n Fiscal R</w:t>
      </w:r>
      <w:r w:rsidR="009B4C4A">
        <w:rPr>
          <w:rFonts w:eastAsia="Times New Roman" w:cs="Times New Roman"/>
          <w:color w:val="000000"/>
          <w:sz w:val="24"/>
          <w:szCs w:val="24"/>
        </w:rPr>
        <w:t>e</w:t>
      </w:r>
      <w:r w:rsidR="009B4C4A" w:rsidRPr="00213588">
        <w:rPr>
          <w:rFonts w:eastAsia="Times New Roman" w:cs="Times New Roman"/>
          <w:color w:val="000000"/>
          <w:sz w:val="24"/>
          <w:szCs w:val="24"/>
        </w:rPr>
        <w:t>sponsibilit</w:t>
      </w:r>
      <w:r w:rsidR="009B4C4A">
        <w:rPr>
          <w:rFonts w:eastAsia="Times New Roman" w:cs="Times New Roman"/>
          <w:color w:val="000000"/>
          <w:sz w:val="24"/>
          <w:szCs w:val="24"/>
        </w:rPr>
        <w:t>y and Reform, also</w:t>
      </w:r>
      <w:r>
        <w:rPr>
          <w:rFonts w:eastAsia="Times New Roman" w:cs="Times New Roman"/>
          <w:sz w:val="24"/>
          <w:szCs w:val="24"/>
        </w:rPr>
        <w:t xml:space="preserve"> denied the mortgage interest deduction for second homes.</w:t>
      </w:r>
      <w:r>
        <w:rPr>
          <w:rStyle w:val="EndnoteReference"/>
          <w:rFonts w:eastAsia="Times New Roman"/>
          <w:sz w:val="24"/>
          <w:szCs w:val="24"/>
        </w:rPr>
        <w:endnoteReference w:id="52"/>
      </w:r>
      <w:r w:rsidR="009B4C4A">
        <w:rPr>
          <w:rFonts w:eastAsia="Times New Roman" w:cs="Times New Roman"/>
          <w:sz w:val="24"/>
          <w:szCs w:val="24"/>
        </w:rPr>
        <w:t xml:space="preserve"> </w:t>
      </w:r>
    </w:p>
    <w:p w:rsidR="00B572B4" w:rsidRDefault="00B572B4" w:rsidP="00B572B4">
      <w:pPr>
        <w:pStyle w:val="ListParagraph"/>
        <w:shd w:val="clear" w:color="auto" w:fill="FFFFFF"/>
        <w:spacing w:before="100" w:beforeAutospacing="1" w:after="100" w:afterAutospacing="1" w:line="240" w:lineRule="auto"/>
        <w:textAlignment w:val="baseline"/>
        <w:rPr>
          <w:rFonts w:eastAsia="Times New Roman" w:cs="Times New Roman"/>
          <w:sz w:val="24"/>
          <w:szCs w:val="24"/>
        </w:rPr>
      </w:pPr>
    </w:p>
    <w:p w:rsidR="00B572B4" w:rsidRPr="00C66723" w:rsidRDefault="00B572B4" w:rsidP="00C66723">
      <w:pPr>
        <w:pStyle w:val="ListParagraph"/>
        <w:numPr>
          <w:ilvl w:val="0"/>
          <w:numId w:val="24"/>
        </w:numPr>
        <w:spacing w:after="0" w:line="240" w:lineRule="auto"/>
        <w:ind w:left="720"/>
        <w:rPr>
          <w:rFonts w:ascii="Calibri" w:eastAsia="Times" w:hAnsi="Calibri" w:cs="Calibri"/>
          <w:b/>
          <w:color w:val="0477AE"/>
          <w:sz w:val="24"/>
          <w:szCs w:val="24"/>
        </w:rPr>
      </w:pPr>
      <w:r w:rsidRPr="00C66723">
        <w:rPr>
          <w:rFonts w:ascii="Calibri" w:eastAsia="Times" w:hAnsi="Calibri" w:cs="Calibri"/>
          <w:b/>
          <w:color w:val="0477AE"/>
          <w:sz w:val="24"/>
          <w:szCs w:val="24"/>
        </w:rPr>
        <w:lastRenderedPageBreak/>
        <w:t xml:space="preserve">Close the Tax Loophole for Derivatives Traders </w:t>
      </w:r>
    </w:p>
    <w:p w:rsidR="00B572B4" w:rsidRPr="00C66723" w:rsidRDefault="00B572B4" w:rsidP="00C66723">
      <w:pPr>
        <w:pStyle w:val="ListParagraph"/>
        <w:spacing w:after="0" w:line="240" w:lineRule="auto"/>
        <w:rPr>
          <w:rFonts w:ascii="Calibri" w:eastAsia="Times" w:hAnsi="Calibri" w:cs="Calibri"/>
          <w:b/>
          <w:color w:val="0477AE"/>
          <w:sz w:val="24"/>
          <w:szCs w:val="24"/>
        </w:rPr>
      </w:pPr>
      <w:r w:rsidRPr="00C66723">
        <w:rPr>
          <w:rFonts w:ascii="Calibri" w:eastAsia="Times" w:hAnsi="Calibri" w:cs="Calibri"/>
          <w:b/>
          <w:color w:val="0477AE"/>
          <w:sz w:val="24"/>
          <w:szCs w:val="24"/>
        </w:rPr>
        <w:t>Revenue: $3 billion over 10 years; Joint Committee on Taxation</w:t>
      </w:r>
    </w:p>
    <w:p w:rsidR="00B572B4" w:rsidRPr="00D10BF6" w:rsidRDefault="00B572B4" w:rsidP="00B572B4">
      <w:pPr>
        <w:shd w:val="clear" w:color="auto" w:fill="FFFFFF"/>
        <w:spacing w:before="100" w:beforeAutospacing="1" w:after="0" w:line="240" w:lineRule="auto"/>
        <w:ind w:left="720"/>
        <w:textAlignment w:val="baseline"/>
        <w:rPr>
          <w:rFonts w:ascii="Calibri" w:eastAsia="Times New Roman" w:hAnsi="Calibri" w:cs="Calibri"/>
          <w:color w:val="333333"/>
          <w:sz w:val="24"/>
          <w:szCs w:val="24"/>
        </w:rPr>
      </w:pPr>
      <w:r w:rsidRPr="00D10BF6">
        <w:rPr>
          <w:rFonts w:ascii="Calibri" w:eastAsia="Times New Roman" w:hAnsi="Calibri" w:cs="Calibri"/>
          <w:color w:val="333333"/>
          <w:sz w:val="24"/>
          <w:szCs w:val="24"/>
        </w:rPr>
        <w:t>Warren Buffett calls this one of the “extraordinary tax breaks” for the “mega-rich</w:t>
      </w:r>
      <w:r>
        <w:rPr>
          <w:rFonts w:ascii="Calibri" w:eastAsia="Times New Roman" w:hAnsi="Calibri" w:cs="Calibri"/>
          <w:color w:val="333333"/>
          <w:sz w:val="24"/>
          <w:szCs w:val="24"/>
        </w:rPr>
        <w:t>.</w:t>
      </w:r>
      <w:r w:rsidRPr="00D10BF6">
        <w:rPr>
          <w:rFonts w:ascii="Calibri" w:eastAsia="Times New Roman" w:hAnsi="Calibri" w:cs="Calibri"/>
          <w:color w:val="333333"/>
          <w:sz w:val="24"/>
          <w:szCs w:val="24"/>
        </w:rPr>
        <w:t>” Due to a special rule in the tax code, certain derivatives traders pay a “blended” rate on their income—60 percent at favorable long-term capital gains rates and 40 percent at ordinary income rates.</w:t>
      </w:r>
    </w:p>
    <w:p w:rsidR="00B572B4" w:rsidRPr="00D10BF6" w:rsidRDefault="00B572B4" w:rsidP="00B572B4">
      <w:pPr>
        <w:shd w:val="clear" w:color="auto" w:fill="FFFFFF"/>
        <w:spacing w:before="100" w:beforeAutospacing="1" w:after="100" w:afterAutospacing="1" w:line="240" w:lineRule="auto"/>
        <w:ind w:left="720"/>
        <w:textAlignment w:val="baseline"/>
        <w:rPr>
          <w:rFonts w:ascii="Calibri" w:eastAsia="Times New Roman" w:hAnsi="Calibri" w:cs="Calibri"/>
          <w:color w:val="333333"/>
          <w:sz w:val="24"/>
          <w:szCs w:val="24"/>
        </w:rPr>
      </w:pPr>
      <w:r w:rsidRPr="00D10BF6">
        <w:rPr>
          <w:rFonts w:ascii="Calibri" w:eastAsia="Times New Roman" w:hAnsi="Calibri" w:cs="Calibri"/>
          <w:color w:val="333333"/>
          <w:sz w:val="24"/>
          <w:szCs w:val="24"/>
        </w:rPr>
        <w:t>Although investors must generally hold onto assets for one year in order to enjoy low-rate capital</w:t>
      </w:r>
      <w:r>
        <w:rPr>
          <w:rFonts w:ascii="Calibri" w:eastAsia="Times New Roman" w:hAnsi="Calibri" w:cs="Calibri"/>
          <w:color w:val="333333"/>
          <w:sz w:val="24"/>
          <w:szCs w:val="24"/>
        </w:rPr>
        <w:t>-</w:t>
      </w:r>
      <w:r w:rsidRPr="00D10BF6">
        <w:rPr>
          <w:rFonts w:ascii="Calibri" w:eastAsia="Times New Roman" w:hAnsi="Calibri" w:cs="Calibri"/>
          <w:color w:val="333333"/>
          <w:sz w:val="24"/>
          <w:szCs w:val="24"/>
        </w:rPr>
        <w:t>gain treatment, traders who buy and sell derivatives are eligible for the blended rate even if they buy and sell instantly. The loophole was carved out a generation ago to protect investors in commodities futures whose purpose was to protect long-term profits, not engage in short-term speculation. But financial markets have changed, and as Buffett explains, a trader can “own stock index futures for 10 minutes” and get the favorable tax treatment “as if they’d been long-term investors.”</w:t>
      </w:r>
      <w:r>
        <w:rPr>
          <w:rStyle w:val="EndnoteReference"/>
          <w:rFonts w:ascii="Calibri" w:eastAsia="Times New Roman" w:hAnsi="Calibri"/>
          <w:color w:val="333333"/>
          <w:sz w:val="24"/>
          <w:szCs w:val="24"/>
        </w:rPr>
        <w:endnoteReference w:id="53"/>
      </w:r>
    </w:p>
    <w:p w:rsidR="00B572B4" w:rsidRDefault="00B572B4" w:rsidP="00B572B4">
      <w:pPr>
        <w:pStyle w:val="ListParagraph"/>
        <w:spacing w:line="240" w:lineRule="auto"/>
        <w:rPr>
          <w:rFonts w:ascii="Calibri" w:eastAsia="Times New Roman" w:hAnsi="Calibri" w:cs="Calibri"/>
          <w:color w:val="333333"/>
          <w:sz w:val="24"/>
          <w:szCs w:val="24"/>
        </w:rPr>
      </w:pPr>
      <w:r w:rsidRPr="00D10BF6">
        <w:rPr>
          <w:rFonts w:ascii="Calibri" w:eastAsia="Times New Roman" w:hAnsi="Calibri" w:cs="Calibri"/>
          <w:color w:val="333333"/>
          <w:sz w:val="24"/>
          <w:szCs w:val="24"/>
        </w:rPr>
        <w:t xml:space="preserve">Sen. Carl Levin (D-MI) introduced legislation in the last Congress to close this loophole. The </w:t>
      </w:r>
      <w:r>
        <w:rPr>
          <w:rFonts w:ascii="Calibri" w:eastAsia="Times New Roman" w:hAnsi="Calibri" w:cs="Calibri"/>
          <w:color w:val="333333"/>
          <w:sz w:val="24"/>
          <w:szCs w:val="24"/>
        </w:rPr>
        <w:t xml:space="preserve">JCT estimated that the Administration’s proposal to close the loophole would </w:t>
      </w:r>
      <w:r w:rsidRPr="00D10BF6">
        <w:rPr>
          <w:rFonts w:ascii="Calibri" w:eastAsia="Times New Roman" w:hAnsi="Calibri" w:cs="Calibri"/>
          <w:color w:val="333333"/>
          <w:sz w:val="24"/>
          <w:szCs w:val="24"/>
        </w:rPr>
        <w:t>raise nearly $</w:t>
      </w:r>
      <w:r>
        <w:rPr>
          <w:rFonts w:ascii="Calibri" w:eastAsia="Times New Roman" w:hAnsi="Calibri" w:cs="Calibri"/>
          <w:color w:val="333333"/>
          <w:sz w:val="24"/>
          <w:szCs w:val="24"/>
        </w:rPr>
        <w:t>2.7</w:t>
      </w:r>
      <w:r w:rsidRPr="00D10BF6">
        <w:rPr>
          <w:rFonts w:ascii="Calibri" w:eastAsia="Times New Roman" w:hAnsi="Calibri" w:cs="Calibri"/>
          <w:color w:val="333333"/>
          <w:sz w:val="24"/>
          <w:szCs w:val="24"/>
        </w:rPr>
        <w:t xml:space="preserve"> billion over 10 years</w:t>
      </w:r>
      <w:r>
        <w:rPr>
          <w:rFonts w:ascii="Calibri" w:eastAsia="Times New Roman" w:hAnsi="Calibri" w:cs="Calibri"/>
          <w:color w:val="333333"/>
          <w:sz w:val="24"/>
          <w:szCs w:val="24"/>
        </w:rPr>
        <w:t>.</w:t>
      </w:r>
      <w:r>
        <w:rPr>
          <w:rStyle w:val="EndnoteReference"/>
          <w:rFonts w:ascii="Calibri" w:eastAsia="Times New Roman" w:hAnsi="Calibri"/>
          <w:color w:val="333333"/>
          <w:sz w:val="24"/>
          <w:szCs w:val="24"/>
        </w:rPr>
        <w:endnoteReference w:id="54"/>
      </w:r>
      <w:r>
        <w:rPr>
          <w:rFonts w:ascii="Calibri" w:eastAsia="Times New Roman" w:hAnsi="Calibri" w:cs="Calibri"/>
          <w:color w:val="333333"/>
          <w:sz w:val="24"/>
          <w:szCs w:val="24"/>
        </w:rPr>
        <w:t xml:space="preserve"> </w:t>
      </w:r>
    </w:p>
    <w:p w:rsidR="00B572B4" w:rsidRDefault="00B572B4" w:rsidP="00B572B4">
      <w:pPr>
        <w:pStyle w:val="ListParagraph"/>
        <w:spacing w:line="240" w:lineRule="auto"/>
        <w:rPr>
          <w:rFonts w:eastAsia="Times New Roman" w:cs="Times New Roman"/>
          <w:b/>
          <w:sz w:val="24"/>
          <w:szCs w:val="24"/>
        </w:rPr>
      </w:pPr>
    </w:p>
    <w:p w:rsidR="00174D0F" w:rsidRDefault="00174D0F" w:rsidP="00B572B4">
      <w:pPr>
        <w:pStyle w:val="ListParagraph"/>
        <w:spacing w:line="240" w:lineRule="auto"/>
        <w:rPr>
          <w:rFonts w:eastAsia="Times New Roman" w:cs="Times New Roman"/>
          <w:b/>
          <w:sz w:val="24"/>
          <w:szCs w:val="24"/>
        </w:rPr>
      </w:pPr>
    </w:p>
    <w:p w:rsidR="00004F00" w:rsidRDefault="00B572B4" w:rsidP="00004F00">
      <w:pPr>
        <w:pStyle w:val="ListParagraph"/>
        <w:numPr>
          <w:ilvl w:val="0"/>
          <w:numId w:val="20"/>
        </w:numPr>
        <w:spacing w:after="0" w:line="240" w:lineRule="auto"/>
        <w:ind w:left="360" w:hanging="360"/>
        <w:rPr>
          <w:rFonts w:ascii="Calibri" w:eastAsia="Times" w:hAnsi="Calibri" w:cs="Calibri"/>
          <w:b/>
          <w:color w:val="0477AE"/>
          <w:sz w:val="28"/>
          <w:szCs w:val="28"/>
        </w:rPr>
      </w:pPr>
      <w:r w:rsidRPr="00004F00">
        <w:rPr>
          <w:rFonts w:ascii="Calibri" w:eastAsia="Times" w:hAnsi="Calibri" w:cs="Calibri"/>
          <w:b/>
          <w:color w:val="0477AE"/>
          <w:sz w:val="28"/>
          <w:szCs w:val="28"/>
        </w:rPr>
        <w:t>Place a Surtax on the Incomes of Millionaires</w:t>
      </w:r>
    </w:p>
    <w:p w:rsidR="00B572B4" w:rsidRPr="00004F00" w:rsidRDefault="00B572B4" w:rsidP="00004F00">
      <w:pPr>
        <w:pStyle w:val="ListParagraph"/>
        <w:spacing w:after="0" w:line="240" w:lineRule="auto"/>
        <w:ind w:left="360"/>
        <w:rPr>
          <w:rFonts w:ascii="Calibri" w:eastAsia="Times" w:hAnsi="Calibri" w:cs="Calibri"/>
          <w:b/>
          <w:color w:val="0477AE"/>
          <w:sz w:val="24"/>
          <w:szCs w:val="24"/>
        </w:rPr>
      </w:pPr>
      <w:r w:rsidRPr="00004F00">
        <w:rPr>
          <w:rFonts w:ascii="Calibri" w:eastAsia="Times" w:hAnsi="Calibri" w:cs="Calibri"/>
          <w:b/>
          <w:color w:val="0477AE"/>
          <w:sz w:val="24"/>
          <w:szCs w:val="24"/>
        </w:rPr>
        <w:t>Revenues: $107-$453 billion over 10 years; Joint Committee</w:t>
      </w:r>
      <w:r w:rsidR="00174D0F">
        <w:rPr>
          <w:rFonts w:ascii="Calibri" w:eastAsia="Times" w:hAnsi="Calibri" w:cs="Calibri"/>
          <w:b/>
          <w:color w:val="0477AE"/>
          <w:sz w:val="24"/>
          <w:szCs w:val="24"/>
        </w:rPr>
        <w:t xml:space="preserve"> on Taxation  </w:t>
      </w:r>
    </w:p>
    <w:p w:rsidR="00B572B4" w:rsidRPr="00443A51" w:rsidRDefault="00B572B4" w:rsidP="00B572B4">
      <w:pPr>
        <w:pStyle w:val="ListParagraph"/>
        <w:spacing w:after="0" w:line="240" w:lineRule="auto"/>
        <w:ind w:left="360"/>
        <w:rPr>
          <w:rFonts w:eastAsia="Times New Roman" w:cs="Times New Roman"/>
          <w:sz w:val="24"/>
          <w:szCs w:val="24"/>
        </w:rPr>
      </w:pPr>
      <w:r>
        <w:rPr>
          <w:rFonts w:eastAsia="Times New Roman" w:cs="Times New Roman"/>
          <w:sz w:val="24"/>
          <w:szCs w:val="24"/>
        </w:rPr>
        <w:t xml:space="preserve"> </w:t>
      </w:r>
    </w:p>
    <w:p w:rsidR="00B572B4" w:rsidRDefault="00B572B4" w:rsidP="00B572B4">
      <w:pPr>
        <w:spacing w:after="0" w:line="240" w:lineRule="auto"/>
        <w:ind w:left="360"/>
        <w:rPr>
          <w:rFonts w:ascii="Calibri" w:eastAsia="Times" w:hAnsi="Calibri" w:cs="Calibri"/>
          <w:sz w:val="24"/>
          <w:szCs w:val="20"/>
        </w:rPr>
      </w:pPr>
      <w:r>
        <w:rPr>
          <w:rFonts w:ascii="Calibri" w:eastAsia="Times" w:hAnsi="Calibri" w:cs="Calibri"/>
          <w:sz w:val="24"/>
          <w:szCs w:val="20"/>
        </w:rPr>
        <w:t xml:space="preserve">The fiscal-cliff tax deal restored tax rates on income above $450,000 for households ($400,000 for individuals) to their Clinton-era levels of 39.6 percent.  This rate is still low by historical standards; </w:t>
      </w:r>
      <w:r w:rsidRPr="00443A51">
        <w:rPr>
          <w:rFonts w:ascii="Calibri" w:eastAsia="Calibri" w:hAnsi="Calibri" w:cs="Calibri"/>
          <w:sz w:val="24"/>
          <w:szCs w:val="24"/>
        </w:rPr>
        <w:t>from 1932 to 1986, the top marginal tax rate was at or above 50 percent.</w:t>
      </w:r>
      <w:r w:rsidRPr="00443A51">
        <w:rPr>
          <w:rFonts w:ascii="Calibri" w:eastAsia="Calibri" w:hAnsi="Calibri" w:cs="Times New Roman"/>
          <w:vertAlign w:val="superscript"/>
        </w:rPr>
        <w:endnoteReference w:id="55"/>
      </w:r>
      <w:r w:rsidRPr="00443A51">
        <w:rPr>
          <w:rFonts w:ascii="Calibri" w:eastAsia="Calibri" w:hAnsi="Calibri" w:cs="Calibri"/>
          <w:sz w:val="24"/>
          <w:szCs w:val="24"/>
          <w:vertAlign w:val="superscript"/>
        </w:rPr>
        <w:t xml:space="preserve"> </w:t>
      </w:r>
      <w:r>
        <w:rPr>
          <w:rFonts w:ascii="Calibri" w:eastAsia="Times" w:hAnsi="Calibri" w:cs="Calibri"/>
          <w:sz w:val="24"/>
          <w:szCs w:val="20"/>
        </w:rPr>
        <w:t xml:space="preserve"> And it leaves CEOs and investment managers making tens of millions of dollars paying the same marginal tax rate as a professional </w:t>
      </w:r>
      <w:r w:rsidRPr="00D2008E">
        <w:rPr>
          <w:rFonts w:ascii="Calibri" w:eastAsia="Times" w:hAnsi="Calibri" w:cs="Calibri"/>
          <w:sz w:val="24"/>
          <w:szCs w:val="20"/>
        </w:rPr>
        <w:t xml:space="preserve">couple.  </w:t>
      </w:r>
    </w:p>
    <w:p w:rsidR="00B572B4" w:rsidRDefault="00B572B4" w:rsidP="00B572B4">
      <w:pPr>
        <w:spacing w:after="0" w:line="240" w:lineRule="auto"/>
        <w:rPr>
          <w:rFonts w:ascii="Calibri" w:eastAsia="Times" w:hAnsi="Calibri" w:cs="Calibri"/>
          <w:sz w:val="24"/>
          <w:szCs w:val="20"/>
        </w:rPr>
      </w:pPr>
    </w:p>
    <w:p w:rsidR="00B572B4" w:rsidRPr="00274A52" w:rsidRDefault="00B572B4" w:rsidP="00B572B4">
      <w:pPr>
        <w:spacing w:after="0" w:line="240" w:lineRule="auto"/>
        <w:ind w:left="360"/>
        <w:rPr>
          <w:rFonts w:ascii="Calibri" w:eastAsia="Times" w:hAnsi="Calibri" w:cs="Calibri"/>
          <w:sz w:val="24"/>
          <w:szCs w:val="20"/>
        </w:rPr>
      </w:pPr>
      <w:r w:rsidRPr="00274A52">
        <w:rPr>
          <w:rFonts w:ascii="Calibri" w:eastAsia="Times" w:hAnsi="Calibri" w:cs="Calibri"/>
          <w:sz w:val="24"/>
          <w:szCs w:val="20"/>
        </w:rPr>
        <w:t xml:space="preserve">The richest 1 percent </w:t>
      </w:r>
      <w:proofErr w:type="gramStart"/>
      <w:r w:rsidRPr="00274A52">
        <w:rPr>
          <w:rFonts w:ascii="Calibri" w:eastAsia="Times" w:hAnsi="Calibri" w:cs="Calibri"/>
          <w:sz w:val="24"/>
          <w:szCs w:val="20"/>
        </w:rPr>
        <w:t>hold</w:t>
      </w:r>
      <w:proofErr w:type="gramEnd"/>
      <w:r w:rsidRPr="00274A52">
        <w:rPr>
          <w:rFonts w:ascii="Calibri" w:eastAsia="Times" w:hAnsi="Calibri" w:cs="Calibri"/>
          <w:sz w:val="24"/>
          <w:szCs w:val="20"/>
        </w:rPr>
        <w:t xml:space="preserve"> 35 percent of the nation’s wealth and the bottom 90 percent owns just 23 percent.</w:t>
      </w:r>
      <w:r w:rsidRPr="00274A52">
        <w:rPr>
          <w:rFonts w:ascii="Calibri" w:eastAsia="Times" w:hAnsi="Calibri" w:cs="Calibri"/>
          <w:sz w:val="24"/>
          <w:szCs w:val="20"/>
          <w:vertAlign w:val="superscript"/>
        </w:rPr>
        <w:endnoteReference w:id="56"/>
      </w:r>
      <w:r w:rsidRPr="00274A52">
        <w:rPr>
          <w:rFonts w:ascii="Calibri" w:eastAsia="Times" w:hAnsi="Calibri" w:cs="Calibri"/>
          <w:sz w:val="24"/>
          <w:szCs w:val="20"/>
        </w:rPr>
        <w:t xml:space="preserve">  The top 1 percent </w:t>
      </w:r>
      <w:proofErr w:type="gramStart"/>
      <w:r w:rsidRPr="00274A52">
        <w:rPr>
          <w:rFonts w:ascii="Calibri" w:eastAsia="Times" w:hAnsi="Calibri" w:cs="Calibri"/>
          <w:sz w:val="24"/>
          <w:szCs w:val="20"/>
        </w:rPr>
        <w:t>have</w:t>
      </w:r>
      <w:proofErr w:type="gramEnd"/>
      <w:r w:rsidRPr="00274A52">
        <w:rPr>
          <w:rFonts w:ascii="Calibri" w:eastAsia="Times" w:hAnsi="Calibri" w:cs="Calibri"/>
          <w:sz w:val="24"/>
          <w:szCs w:val="20"/>
        </w:rPr>
        <w:t xml:space="preserve"> seen their average after-tax income rise</w:t>
      </w:r>
      <w:r w:rsidR="00FC72D3">
        <w:rPr>
          <w:rFonts w:ascii="Calibri" w:eastAsia="Times" w:hAnsi="Calibri" w:cs="Calibri"/>
          <w:sz w:val="24"/>
          <w:szCs w:val="20"/>
        </w:rPr>
        <w:t xml:space="preserve"> nearly</w:t>
      </w:r>
      <w:r w:rsidRPr="00274A52">
        <w:rPr>
          <w:rFonts w:ascii="Calibri" w:eastAsia="Times" w:hAnsi="Calibri" w:cs="Calibri"/>
          <w:sz w:val="24"/>
          <w:szCs w:val="20"/>
        </w:rPr>
        <w:t xml:space="preserve"> four-fold since 1979, while the income of the middle 60 percent rose just 40 percent.</w:t>
      </w:r>
      <w:r w:rsidRPr="00274A52">
        <w:rPr>
          <w:rFonts w:eastAsia="Times" w:cs="Calibri"/>
          <w:sz w:val="24"/>
          <w:szCs w:val="20"/>
          <w:vertAlign w:val="superscript"/>
        </w:rPr>
        <w:endnoteReference w:id="57"/>
      </w:r>
      <w:r w:rsidRPr="00274A52">
        <w:rPr>
          <w:rFonts w:ascii="Calibri" w:eastAsia="Times" w:hAnsi="Calibri" w:cs="Calibri"/>
          <w:sz w:val="24"/>
          <w:szCs w:val="20"/>
          <w:vertAlign w:val="superscript"/>
        </w:rPr>
        <w:t xml:space="preserve"> </w:t>
      </w:r>
      <w:r w:rsidRPr="00274A52" w:rsidDel="009A7825">
        <w:rPr>
          <w:rFonts w:ascii="Calibri" w:eastAsia="Times" w:hAnsi="Calibri" w:cs="Calibri"/>
          <w:sz w:val="24"/>
          <w:szCs w:val="20"/>
          <w:vertAlign w:val="superscript"/>
        </w:rPr>
        <w:t xml:space="preserve"> </w:t>
      </w:r>
      <w:r w:rsidRPr="00274A52">
        <w:rPr>
          <w:rFonts w:ascii="Calibri" w:eastAsia="Times" w:hAnsi="Calibri" w:cs="Calibri"/>
          <w:sz w:val="24"/>
          <w:szCs w:val="20"/>
        </w:rPr>
        <w:t>Despite these staggering differences, the U.S. tax code only has six income tax rates, with the top marginal rate of 3</w:t>
      </w:r>
      <w:r>
        <w:rPr>
          <w:rFonts w:ascii="Calibri" w:eastAsia="Times" w:hAnsi="Calibri" w:cs="Calibri"/>
          <w:sz w:val="24"/>
          <w:szCs w:val="20"/>
        </w:rPr>
        <w:t>9.6</w:t>
      </w:r>
      <w:r w:rsidRPr="00274A52">
        <w:rPr>
          <w:rFonts w:ascii="Calibri" w:eastAsia="Times" w:hAnsi="Calibri" w:cs="Calibri"/>
          <w:sz w:val="24"/>
          <w:szCs w:val="20"/>
        </w:rPr>
        <w:t xml:space="preserve"> percent applied equally to a professional couple making $4</w:t>
      </w:r>
      <w:r>
        <w:rPr>
          <w:rFonts w:ascii="Calibri" w:eastAsia="Times" w:hAnsi="Calibri" w:cs="Calibri"/>
          <w:sz w:val="24"/>
          <w:szCs w:val="20"/>
        </w:rPr>
        <w:t>5</w:t>
      </w:r>
      <w:r w:rsidRPr="00274A52">
        <w:rPr>
          <w:rFonts w:ascii="Calibri" w:eastAsia="Times" w:hAnsi="Calibri" w:cs="Calibri"/>
          <w:sz w:val="24"/>
          <w:szCs w:val="20"/>
        </w:rPr>
        <w:t xml:space="preserve">0,000 a year and a CEO making $20 million. That is not right, nor does it make good economic sense. </w:t>
      </w:r>
    </w:p>
    <w:p w:rsidR="00B572B4" w:rsidRDefault="00B572B4" w:rsidP="00B572B4">
      <w:pPr>
        <w:pStyle w:val="ListParagraph"/>
        <w:spacing w:after="0" w:line="240" w:lineRule="auto"/>
        <w:ind w:left="360"/>
        <w:rPr>
          <w:rFonts w:cs="Calibri"/>
          <w:sz w:val="24"/>
          <w:szCs w:val="24"/>
        </w:rPr>
      </w:pPr>
    </w:p>
    <w:p w:rsidR="00B572B4" w:rsidRDefault="00B572B4" w:rsidP="00B572B4">
      <w:pPr>
        <w:pStyle w:val="ListParagraph"/>
        <w:spacing w:after="0" w:line="240" w:lineRule="auto"/>
        <w:ind w:left="360"/>
        <w:rPr>
          <w:rStyle w:val="Hyperlink"/>
          <w:rFonts w:ascii="Arial" w:hAnsi="Arial"/>
          <w:sz w:val="24"/>
        </w:rPr>
      </w:pPr>
      <w:r>
        <w:rPr>
          <w:rFonts w:cs="Calibri"/>
          <w:sz w:val="24"/>
          <w:szCs w:val="24"/>
        </w:rPr>
        <w:t xml:space="preserve">It is time for the rich and the super-rich to contribute their fair share by paying higher marginal tax rates. A relatively simple way to do this is to place </w:t>
      </w:r>
      <w:proofErr w:type="gramStart"/>
      <w:r>
        <w:rPr>
          <w:rFonts w:cs="Calibri"/>
          <w:sz w:val="24"/>
          <w:szCs w:val="24"/>
        </w:rPr>
        <w:t>a surtax</w:t>
      </w:r>
      <w:proofErr w:type="gramEnd"/>
      <w:r>
        <w:rPr>
          <w:rFonts w:cs="Calibri"/>
          <w:sz w:val="24"/>
          <w:szCs w:val="24"/>
        </w:rPr>
        <w:t xml:space="preserve"> on income over $1 million a year, such as the 5.6 percent surtax that was proposed in the American Jobs Act debated in the Senate in 2011. This measure was estimated to raise $453 billion over 10 years by the JCT,</w:t>
      </w:r>
      <w:r w:rsidRPr="00274A52">
        <w:rPr>
          <w:rStyle w:val="EndnoteReference"/>
          <w:sz w:val="24"/>
          <w:szCs w:val="16"/>
        </w:rPr>
        <w:endnoteReference w:id="58"/>
      </w:r>
      <w:r>
        <w:rPr>
          <w:rFonts w:cs="Calibri"/>
          <w:sz w:val="24"/>
          <w:szCs w:val="24"/>
        </w:rPr>
        <w:t xml:space="preserve"> and it would affect just 2 out of 1,000 households (two-tenths of 1 percent of all taxpayers).</w:t>
      </w:r>
      <w:r>
        <w:rPr>
          <w:rStyle w:val="EndnoteReference"/>
          <w:sz w:val="24"/>
          <w:szCs w:val="24"/>
        </w:rPr>
        <w:endnoteReference w:id="59"/>
      </w:r>
      <w:r w:rsidRPr="002777E8">
        <w:rPr>
          <w:rFonts w:ascii="Arial" w:hAnsi="Arial" w:cs="Times New Roman"/>
          <w:sz w:val="24"/>
          <w:szCs w:val="16"/>
        </w:rPr>
        <w:t xml:space="preserve"> </w:t>
      </w:r>
      <w:r w:rsidRPr="005419C6">
        <w:rPr>
          <w:rFonts w:cs="Calibri"/>
          <w:sz w:val="24"/>
          <w:szCs w:val="24"/>
        </w:rPr>
        <w:t>A more modest alternative would be to assess</w:t>
      </w:r>
      <w:r>
        <w:rPr>
          <w:rFonts w:cs="Calibri"/>
          <w:sz w:val="24"/>
          <w:szCs w:val="24"/>
        </w:rPr>
        <w:t xml:space="preserve"> </w:t>
      </w:r>
      <w:proofErr w:type="gramStart"/>
      <w:r>
        <w:rPr>
          <w:rFonts w:cs="Calibri"/>
          <w:sz w:val="24"/>
          <w:szCs w:val="24"/>
        </w:rPr>
        <w:t>a 5</w:t>
      </w:r>
      <w:proofErr w:type="gramEnd"/>
      <w:r>
        <w:rPr>
          <w:rFonts w:cs="Calibri"/>
          <w:sz w:val="24"/>
          <w:szCs w:val="24"/>
        </w:rPr>
        <w:t xml:space="preserve"> percent surtax </w:t>
      </w:r>
      <w:r>
        <w:rPr>
          <w:rFonts w:cs="Calibri"/>
          <w:sz w:val="24"/>
          <w:szCs w:val="24"/>
        </w:rPr>
        <w:lastRenderedPageBreak/>
        <w:t xml:space="preserve">on incomes of $10 million or more. This measure </w:t>
      </w:r>
      <w:r w:rsidR="00174D0F">
        <w:rPr>
          <w:rFonts w:cs="Calibri"/>
          <w:sz w:val="24"/>
          <w:szCs w:val="24"/>
        </w:rPr>
        <w:t>i</w:t>
      </w:r>
      <w:r>
        <w:rPr>
          <w:rFonts w:cs="Calibri"/>
          <w:sz w:val="24"/>
          <w:szCs w:val="24"/>
        </w:rPr>
        <w:t>s estimated to raise $107 billion over 10 years, according to JCT.</w:t>
      </w:r>
      <w:r>
        <w:rPr>
          <w:rStyle w:val="EndnoteReference"/>
          <w:sz w:val="24"/>
          <w:szCs w:val="24"/>
        </w:rPr>
        <w:endnoteReference w:id="60"/>
      </w:r>
      <w:r>
        <w:rPr>
          <w:rFonts w:ascii="Arial" w:hAnsi="Arial" w:cs="Times New Roman"/>
          <w:sz w:val="24"/>
          <w:szCs w:val="16"/>
        </w:rPr>
        <w:t xml:space="preserve"> </w:t>
      </w:r>
    </w:p>
    <w:p w:rsidR="00B572B4" w:rsidRDefault="00B572B4" w:rsidP="00B572B4">
      <w:pPr>
        <w:spacing w:after="0" w:line="240" w:lineRule="auto"/>
        <w:rPr>
          <w:rFonts w:ascii="Calibri" w:eastAsia="Times" w:hAnsi="Calibri" w:cs="Calibri"/>
          <w:sz w:val="24"/>
          <w:szCs w:val="20"/>
        </w:rPr>
      </w:pPr>
    </w:p>
    <w:p w:rsidR="00B572B4" w:rsidRPr="00F10C4F" w:rsidRDefault="00B572B4" w:rsidP="00B572B4">
      <w:pPr>
        <w:spacing w:after="0" w:line="240" w:lineRule="auto"/>
        <w:ind w:left="360"/>
        <w:rPr>
          <w:rFonts w:eastAsia="Times" w:cs="Calibri"/>
          <w:sz w:val="24"/>
          <w:szCs w:val="24"/>
          <w:u w:val="single"/>
        </w:rPr>
      </w:pPr>
      <w:r w:rsidRPr="00D814E8">
        <w:rPr>
          <w:rFonts w:ascii="Calibri" w:eastAsia="Times" w:hAnsi="Calibri" w:cs="Calibri"/>
          <w:b/>
          <w:color w:val="0477AE"/>
          <w:sz w:val="24"/>
          <w:szCs w:val="24"/>
        </w:rPr>
        <w:t>Public opinion on this tax reform option</w:t>
      </w:r>
    </w:p>
    <w:p w:rsidR="00B572B4" w:rsidRPr="00876F47" w:rsidRDefault="00B572B4" w:rsidP="00B572B4">
      <w:pPr>
        <w:pStyle w:val="ListParagraph"/>
        <w:numPr>
          <w:ilvl w:val="0"/>
          <w:numId w:val="6"/>
        </w:numPr>
        <w:autoSpaceDE w:val="0"/>
        <w:autoSpaceDN w:val="0"/>
        <w:adjustRightInd w:val="0"/>
        <w:spacing w:after="0" w:line="240" w:lineRule="auto"/>
        <w:ind w:left="720"/>
        <w:rPr>
          <w:rFonts w:cs="Helvetica"/>
          <w:sz w:val="24"/>
          <w:szCs w:val="24"/>
        </w:rPr>
      </w:pPr>
      <w:r w:rsidRPr="00876F47">
        <w:rPr>
          <w:rFonts w:eastAsia="Times" w:cs="Calibri"/>
          <w:sz w:val="24"/>
          <w:szCs w:val="24"/>
        </w:rPr>
        <w:t xml:space="preserve">By a margin </w:t>
      </w:r>
      <w:r>
        <w:rPr>
          <w:rFonts w:eastAsia="Times" w:cs="Calibri"/>
          <w:sz w:val="24"/>
          <w:szCs w:val="24"/>
        </w:rPr>
        <w:t>of 73% to 22%, voters support “</w:t>
      </w:r>
      <w:proofErr w:type="spellStart"/>
      <w:r>
        <w:rPr>
          <w:rFonts w:eastAsia="Times" w:cs="Calibri"/>
          <w:sz w:val="24"/>
          <w:szCs w:val="24"/>
        </w:rPr>
        <w:t>P</w:t>
      </w:r>
      <w:r w:rsidRPr="00876F47">
        <w:rPr>
          <w:rFonts w:eastAsia="Times" w:cs="Calibri"/>
          <w:sz w:val="24"/>
          <w:szCs w:val="24"/>
        </w:rPr>
        <w:t>lac</w:t>
      </w:r>
      <w:proofErr w:type="spellEnd"/>
      <w:r w:rsidRPr="00876F47">
        <w:rPr>
          <w:rFonts w:eastAsia="Times" w:cs="Calibri"/>
          <w:sz w:val="24"/>
          <w:szCs w:val="24"/>
        </w:rPr>
        <w:t>[</w:t>
      </w:r>
      <w:proofErr w:type="spellStart"/>
      <w:r w:rsidRPr="00876F47">
        <w:rPr>
          <w:rFonts w:eastAsia="Times" w:cs="Calibri"/>
          <w:sz w:val="24"/>
          <w:szCs w:val="24"/>
        </w:rPr>
        <w:t>ing</w:t>
      </w:r>
      <w:proofErr w:type="spellEnd"/>
      <w:r w:rsidRPr="00876F47">
        <w:rPr>
          <w:rFonts w:eastAsia="Times" w:cs="Calibri"/>
          <w:sz w:val="24"/>
          <w:szCs w:val="24"/>
        </w:rPr>
        <w:t xml:space="preserve">] </w:t>
      </w:r>
      <w:r w:rsidRPr="00876F47">
        <w:rPr>
          <w:rFonts w:cs="Helvetica"/>
          <w:sz w:val="24"/>
          <w:szCs w:val="24"/>
        </w:rPr>
        <w:t>a surtax of five percent on a</w:t>
      </w:r>
    </w:p>
    <w:p w:rsidR="00B572B4" w:rsidRPr="00876F47" w:rsidRDefault="00174D0F" w:rsidP="00B572B4">
      <w:pPr>
        <w:autoSpaceDE w:val="0"/>
        <w:autoSpaceDN w:val="0"/>
        <w:adjustRightInd w:val="0"/>
        <w:spacing w:after="0" w:line="240" w:lineRule="auto"/>
        <w:ind w:left="720"/>
        <w:rPr>
          <w:rFonts w:cs="Helvetica"/>
          <w:sz w:val="24"/>
          <w:szCs w:val="24"/>
        </w:rPr>
      </w:pPr>
      <w:proofErr w:type="gramStart"/>
      <w:r>
        <w:rPr>
          <w:rFonts w:cs="Helvetica"/>
          <w:sz w:val="24"/>
          <w:szCs w:val="24"/>
        </w:rPr>
        <w:t>p</w:t>
      </w:r>
      <w:r w:rsidR="00B572B4" w:rsidRPr="00876F47">
        <w:rPr>
          <w:rFonts w:cs="Helvetica"/>
          <w:sz w:val="24"/>
          <w:szCs w:val="24"/>
        </w:rPr>
        <w:t>erson’</w:t>
      </w:r>
      <w:r w:rsidR="00B572B4" w:rsidRPr="00B6104F">
        <w:rPr>
          <w:rFonts w:cs="Helvetica"/>
          <w:sz w:val="24"/>
          <w:szCs w:val="24"/>
        </w:rPr>
        <w:t>s</w:t>
      </w:r>
      <w:proofErr w:type="gramEnd"/>
      <w:r w:rsidR="00B572B4" w:rsidRPr="00B6104F">
        <w:rPr>
          <w:rFonts w:cs="Helvetica"/>
          <w:sz w:val="24"/>
          <w:szCs w:val="24"/>
        </w:rPr>
        <w:t xml:space="preserve"> income over ten million dollars per year</w:t>
      </w:r>
      <w:r w:rsidR="00B572B4" w:rsidRPr="00876F47">
        <w:rPr>
          <w:rFonts w:eastAsia="Times" w:cs="Calibri"/>
          <w:sz w:val="24"/>
          <w:szCs w:val="24"/>
        </w:rPr>
        <w:t>.”</w:t>
      </w:r>
    </w:p>
    <w:p w:rsidR="00B572B4" w:rsidRPr="002B4419" w:rsidRDefault="00B572B4" w:rsidP="00531DA0">
      <w:pPr>
        <w:pStyle w:val="ListParagraph"/>
        <w:numPr>
          <w:ilvl w:val="0"/>
          <w:numId w:val="6"/>
        </w:numPr>
        <w:autoSpaceDE w:val="0"/>
        <w:autoSpaceDN w:val="0"/>
        <w:adjustRightInd w:val="0"/>
        <w:spacing w:after="0" w:line="240" w:lineRule="auto"/>
        <w:ind w:left="720"/>
        <w:rPr>
          <w:rFonts w:cs="Helvetica"/>
          <w:sz w:val="24"/>
          <w:szCs w:val="24"/>
        </w:rPr>
      </w:pPr>
      <w:r w:rsidRPr="00876F47">
        <w:rPr>
          <w:rFonts w:eastAsia="Times" w:cs="Calibri"/>
          <w:sz w:val="24"/>
          <w:szCs w:val="24"/>
        </w:rPr>
        <w:t>By a margin of 67% to 28%, voters support “</w:t>
      </w:r>
      <w:proofErr w:type="spellStart"/>
      <w:r>
        <w:rPr>
          <w:rFonts w:eastAsia="Times" w:cs="Calibri"/>
          <w:sz w:val="24"/>
          <w:szCs w:val="24"/>
        </w:rPr>
        <w:t>P</w:t>
      </w:r>
      <w:r w:rsidRPr="00876F47">
        <w:rPr>
          <w:rFonts w:cs="Helvetica"/>
          <w:sz w:val="24"/>
          <w:szCs w:val="24"/>
        </w:rPr>
        <w:t>lac</w:t>
      </w:r>
      <w:proofErr w:type="spellEnd"/>
      <w:r w:rsidRPr="00876F47">
        <w:rPr>
          <w:rFonts w:cs="Helvetica"/>
          <w:sz w:val="24"/>
          <w:szCs w:val="24"/>
        </w:rPr>
        <w:t>[</w:t>
      </w:r>
      <w:proofErr w:type="spellStart"/>
      <w:r w:rsidRPr="00876F47">
        <w:rPr>
          <w:rFonts w:cs="Helvetica"/>
          <w:sz w:val="24"/>
          <w:szCs w:val="24"/>
        </w:rPr>
        <w:t>ing</w:t>
      </w:r>
      <w:proofErr w:type="spellEnd"/>
      <w:r w:rsidRPr="00876F47">
        <w:rPr>
          <w:rFonts w:cs="Helvetica"/>
          <w:sz w:val="24"/>
          <w:szCs w:val="24"/>
        </w:rPr>
        <w:t>] a surtax of five percent on a</w:t>
      </w:r>
      <w:r>
        <w:rPr>
          <w:rFonts w:cs="Helvetica"/>
          <w:sz w:val="24"/>
          <w:szCs w:val="24"/>
        </w:rPr>
        <w:t xml:space="preserve"> p</w:t>
      </w:r>
      <w:r w:rsidRPr="002B4419">
        <w:rPr>
          <w:rFonts w:cs="Helvetica"/>
          <w:sz w:val="24"/>
          <w:szCs w:val="24"/>
        </w:rPr>
        <w:t>erson’s income over one million dollars per year</w:t>
      </w:r>
      <w:r w:rsidR="00174D0F">
        <w:rPr>
          <w:rFonts w:cs="Helvetica"/>
          <w:sz w:val="24"/>
          <w:szCs w:val="24"/>
        </w:rPr>
        <w:t>.”</w:t>
      </w:r>
    </w:p>
    <w:p w:rsidR="00C250AC" w:rsidRPr="00C250AC" w:rsidRDefault="00174D0F" w:rsidP="00C250AC">
      <w:pPr>
        <w:pStyle w:val="ListParagraph"/>
        <w:autoSpaceDE w:val="0"/>
        <w:autoSpaceDN w:val="0"/>
        <w:adjustRightInd w:val="0"/>
        <w:spacing w:after="0" w:line="240" w:lineRule="auto"/>
        <w:ind w:left="360"/>
        <w:rPr>
          <w:rFonts w:cs="Calibri"/>
          <w:sz w:val="24"/>
          <w:szCs w:val="24"/>
        </w:rPr>
      </w:pPr>
      <w:r>
        <w:tab/>
      </w:r>
      <w:hyperlink r:id="rId22" w:history="1">
        <w:r w:rsidR="00C250AC" w:rsidRPr="00C250AC">
          <w:rPr>
            <w:rStyle w:val="Hyperlink"/>
            <w:rFonts w:cs="Calibri"/>
            <w:sz w:val="24"/>
            <w:szCs w:val="24"/>
          </w:rPr>
          <w:t>Hart Research Associates Poll</w:t>
        </w:r>
      </w:hyperlink>
      <w:r w:rsidR="00C250AC" w:rsidRPr="00C250AC">
        <w:rPr>
          <w:rFonts w:cs="Calibri"/>
          <w:sz w:val="24"/>
          <w:szCs w:val="24"/>
        </w:rPr>
        <w:t>, Jan. 18-22, 2013, Q. 12</w:t>
      </w:r>
    </w:p>
    <w:p w:rsidR="00B572B4" w:rsidRDefault="00B572B4" w:rsidP="005E7B77">
      <w:pPr>
        <w:pStyle w:val="ListParagraph"/>
        <w:autoSpaceDE w:val="0"/>
        <w:autoSpaceDN w:val="0"/>
        <w:adjustRightInd w:val="0"/>
        <w:spacing w:after="0" w:line="240" w:lineRule="auto"/>
        <w:rPr>
          <w:rFonts w:ascii="Calibri" w:eastAsia="Times" w:hAnsi="Calibri" w:cs="Calibri"/>
          <w:sz w:val="24"/>
          <w:szCs w:val="20"/>
        </w:rPr>
      </w:pPr>
    </w:p>
    <w:p w:rsidR="00DB690C" w:rsidRPr="008F789A" w:rsidRDefault="00DB690C" w:rsidP="008F789A">
      <w:pPr>
        <w:pStyle w:val="ListParagraph"/>
        <w:spacing w:after="0" w:line="240" w:lineRule="auto"/>
        <w:ind w:left="0"/>
        <w:rPr>
          <w:rFonts w:ascii="Calibri" w:eastAsia="Times" w:hAnsi="Calibri" w:cs="Calibri"/>
          <w:color w:val="222222"/>
          <w:sz w:val="24"/>
          <w:szCs w:val="20"/>
        </w:rPr>
      </w:pPr>
    </w:p>
    <w:p w:rsidR="00477E0F" w:rsidRPr="00004F00" w:rsidRDefault="00477E0F" w:rsidP="00004F00">
      <w:pPr>
        <w:pStyle w:val="ListParagraph"/>
        <w:spacing w:after="0" w:line="240" w:lineRule="auto"/>
        <w:ind w:left="0"/>
        <w:rPr>
          <w:rFonts w:ascii="Calibri" w:eastAsia="Times" w:hAnsi="Calibri" w:cs="Calibri"/>
          <w:b/>
          <w:color w:val="0477AE"/>
          <w:sz w:val="24"/>
          <w:szCs w:val="24"/>
        </w:rPr>
      </w:pPr>
      <w:r w:rsidRPr="00004F00">
        <w:rPr>
          <w:rFonts w:ascii="Calibri" w:eastAsia="Times" w:hAnsi="Calibri" w:cs="Calibri"/>
          <w:b/>
          <w:color w:val="0477AE"/>
          <w:sz w:val="24"/>
          <w:szCs w:val="24"/>
        </w:rPr>
        <w:t>Endnotes</w:t>
      </w:r>
    </w:p>
    <w:p w:rsidR="00477E0F" w:rsidRPr="00477E0F" w:rsidRDefault="00477E0F" w:rsidP="00FB49A9">
      <w:pPr>
        <w:pStyle w:val="ListParagraph"/>
        <w:spacing w:after="0" w:line="240" w:lineRule="auto"/>
        <w:ind w:left="360"/>
        <w:rPr>
          <w:rFonts w:ascii="Helvetica" w:eastAsia="Times" w:hAnsi="Helvetica" w:cs="Times New Roman"/>
          <w:b/>
          <w:noProof/>
          <w:color w:val="000000"/>
          <w:sz w:val="4"/>
          <w:szCs w:val="4"/>
        </w:rPr>
      </w:pPr>
    </w:p>
    <w:sectPr w:rsidR="00477E0F" w:rsidRPr="00477E0F" w:rsidSect="009779A6">
      <w:endnotePr>
        <w:numFmt w:val="decimal"/>
      </w:endnotePr>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0F" w:rsidRDefault="0058300F" w:rsidP="00477E0F">
      <w:pPr>
        <w:spacing w:after="0" w:line="240" w:lineRule="auto"/>
      </w:pPr>
      <w:r>
        <w:separator/>
      </w:r>
    </w:p>
  </w:endnote>
  <w:endnote w:type="continuationSeparator" w:id="0">
    <w:p w:rsidR="0058300F" w:rsidRDefault="0058300F" w:rsidP="00477E0F">
      <w:pPr>
        <w:spacing w:after="0" w:line="240" w:lineRule="auto"/>
      </w:pPr>
      <w:r>
        <w:continuationSeparator/>
      </w:r>
    </w:p>
  </w:endnote>
  <w:endnote w:id="1">
    <w:p w:rsidR="00174D0F" w:rsidRPr="005E7B77" w:rsidRDefault="00174D0F" w:rsidP="009E5493">
      <w:pPr>
        <w:pStyle w:val="NoSpacing"/>
        <w:rPr>
          <w:sz w:val="20"/>
          <w:szCs w:val="20"/>
        </w:rPr>
      </w:pPr>
      <w:r w:rsidRPr="00B572B4">
        <w:rPr>
          <w:rStyle w:val="EndnoteReference"/>
          <w:sz w:val="20"/>
          <w:szCs w:val="20"/>
        </w:rPr>
        <w:endnoteRef/>
      </w:r>
      <w:r w:rsidRPr="00B572B4">
        <w:rPr>
          <w:sz w:val="20"/>
          <w:szCs w:val="20"/>
        </w:rPr>
        <w:t xml:space="preserve"> </w:t>
      </w:r>
      <w:r w:rsidRPr="005E7B77">
        <w:rPr>
          <w:sz w:val="20"/>
          <w:szCs w:val="20"/>
        </w:rPr>
        <w:t xml:space="preserve">Center on Budget and Policy Priorities (CBPP), “To Stabilize the Debt, Policymakers Should Seek </w:t>
      </w:r>
      <w:proofErr w:type="gramStart"/>
      <w:r w:rsidRPr="005E7B77">
        <w:rPr>
          <w:sz w:val="20"/>
          <w:szCs w:val="20"/>
        </w:rPr>
        <w:t>Another</w:t>
      </w:r>
      <w:proofErr w:type="gramEnd"/>
      <w:r w:rsidRPr="005E7B77">
        <w:rPr>
          <w:sz w:val="20"/>
          <w:szCs w:val="20"/>
        </w:rPr>
        <w:t xml:space="preserve"> $1.4 Trillion in Deficit Savings,” Table 2 (Jan. 9, 2013), </w:t>
      </w:r>
      <w:hyperlink r:id="rId1" w:history="1">
        <w:r w:rsidRPr="005E7B77">
          <w:rPr>
            <w:rStyle w:val="Hyperlink"/>
            <w:sz w:val="20"/>
            <w:szCs w:val="20"/>
          </w:rPr>
          <w:t>http://www.cbpp.org/cms/index.cfm?fa=view&amp;id=3885</w:t>
        </w:r>
      </w:hyperlink>
      <w:r w:rsidRPr="005E7B77">
        <w:rPr>
          <w:rStyle w:val="Hyperlink"/>
          <w:sz w:val="20"/>
          <w:szCs w:val="20"/>
        </w:rPr>
        <w:t>.</w:t>
      </w:r>
    </w:p>
  </w:endnote>
  <w:endnote w:id="2">
    <w:p w:rsidR="00174D0F" w:rsidRPr="005E7B77" w:rsidRDefault="00174D0F" w:rsidP="009E5493">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Guy </w:t>
      </w:r>
      <w:proofErr w:type="spellStart"/>
      <w:r w:rsidRPr="005E7B77">
        <w:rPr>
          <w:rFonts w:asciiTheme="minorHAnsi" w:hAnsiTheme="minorHAnsi"/>
        </w:rPr>
        <w:t>Molyneux</w:t>
      </w:r>
      <w:proofErr w:type="spellEnd"/>
      <w:r w:rsidRPr="005E7B77">
        <w:rPr>
          <w:rFonts w:asciiTheme="minorHAnsi" w:hAnsiTheme="minorHAnsi"/>
        </w:rPr>
        <w:t xml:space="preserve"> and Geoff </w:t>
      </w:r>
      <w:proofErr w:type="spellStart"/>
      <w:r w:rsidRPr="005E7B77">
        <w:rPr>
          <w:rFonts w:asciiTheme="minorHAnsi" w:hAnsiTheme="minorHAnsi"/>
        </w:rPr>
        <w:t>Garin</w:t>
      </w:r>
      <w:proofErr w:type="spellEnd"/>
      <w:r w:rsidRPr="005E7B77">
        <w:rPr>
          <w:rFonts w:asciiTheme="minorHAnsi" w:hAnsiTheme="minorHAnsi"/>
        </w:rPr>
        <w:t xml:space="preserve">, Hart Research Associates, Memorandum:  “Tax Reform and the Federal Budget (Jan. 29, 2013), </w:t>
      </w:r>
      <w:hyperlink r:id="rId2" w:history="1">
        <w:r w:rsidR="009C5CDC" w:rsidRPr="009C5CDC">
          <w:rPr>
            <w:rStyle w:val="Hyperlink"/>
            <w:rFonts w:asciiTheme="minorHAnsi" w:hAnsiTheme="minorHAnsi"/>
          </w:rPr>
          <w:t>http://www.americansfortaxfairness.org/files/Hart-Memo-on-Fiscal-Cliff-Poll-Hill.pdf</w:t>
        </w:r>
      </w:hyperlink>
      <w:r w:rsidR="009C5CDC">
        <w:rPr>
          <w:rFonts w:asciiTheme="minorHAnsi" w:hAnsiTheme="minorHAnsi"/>
        </w:rPr>
        <w:t>.</w:t>
      </w:r>
    </w:p>
  </w:endnote>
  <w:endnote w:id="3">
    <w:p w:rsidR="00174D0F" w:rsidRPr="005E7B77" w:rsidRDefault="00174D0F" w:rsidP="0065212B">
      <w:pPr>
        <w:pStyle w:val="EndnoteText"/>
        <w:rPr>
          <w:rFonts w:asciiTheme="minorHAnsi" w:hAnsiTheme="minorHAnsi" w:cs="Calibri"/>
        </w:rPr>
      </w:pPr>
      <w:r w:rsidRPr="005E7B77">
        <w:rPr>
          <w:rStyle w:val="EndnoteReference"/>
          <w:rFonts w:asciiTheme="minorHAnsi" w:hAnsiTheme="minorHAnsi" w:cs="Calibri"/>
        </w:rPr>
        <w:endnoteRef/>
      </w:r>
      <w:r w:rsidRPr="005E7B77">
        <w:rPr>
          <w:rFonts w:asciiTheme="minorHAnsi" w:hAnsiTheme="minorHAnsi" w:cs="Calibri"/>
        </w:rPr>
        <w:t xml:space="preserve"> </w:t>
      </w:r>
      <w:proofErr w:type="gramStart"/>
      <w:r w:rsidRPr="005E7B77">
        <w:rPr>
          <w:rFonts w:asciiTheme="minorHAnsi" w:hAnsiTheme="minorHAnsi" w:cs="Calibri"/>
        </w:rPr>
        <w:t xml:space="preserve">Congressional Budget Office (CBO), “The Distribution of Household Income and Federal Taxes, 2008 and 2009,” (Table 1) (July 10, 2012), </w:t>
      </w:r>
      <w:hyperlink r:id="rId3" w:history="1">
        <w:r w:rsidRPr="005E7B77">
          <w:rPr>
            <w:rStyle w:val="Hyperlink"/>
            <w:rFonts w:asciiTheme="minorHAnsi" w:hAnsiTheme="minorHAnsi" w:cs="Calibri"/>
          </w:rPr>
          <w:t>http://www.cbo.gov/publication/43373</w:t>
        </w:r>
      </w:hyperlink>
      <w:r w:rsidRPr="005E7B77">
        <w:rPr>
          <w:rStyle w:val="Hyperlink"/>
          <w:rFonts w:asciiTheme="minorHAnsi" w:hAnsiTheme="minorHAnsi" w:cs="Calibri"/>
        </w:rPr>
        <w:t>.</w:t>
      </w:r>
      <w:proofErr w:type="gramEnd"/>
      <w:r w:rsidRPr="005E7B77">
        <w:rPr>
          <w:rFonts w:asciiTheme="minorHAnsi" w:hAnsiTheme="minorHAnsi" w:cs="Calibri"/>
        </w:rPr>
        <w:t xml:space="preserve"> </w:t>
      </w:r>
    </w:p>
  </w:endnote>
  <w:endnote w:id="4">
    <w:p w:rsidR="00174D0F" w:rsidRPr="005E7B77" w:rsidRDefault="00174D0F" w:rsidP="0065212B">
      <w:pPr>
        <w:pStyle w:val="EndnoteText"/>
        <w:rPr>
          <w:rFonts w:asciiTheme="minorHAnsi" w:hAnsiTheme="minorHAnsi" w:cs="Calibri"/>
        </w:rPr>
      </w:pPr>
      <w:r w:rsidRPr="005E7B77">
        <w:rPr>
          <w:rStyle w:val="EndnoteReference"/>
          <w:rFonts w:asciiTheme="minorHAnsi" w:hAnsiTheme="minorHAnsi" w:cs="Calibri"/>
        </w:rPr>
        <w:endnoteRef/>
      </w:r>
      <w:r w:rsidRPr="005E7B77">
        <w:rPr>
          <w:rFonts w:asciiTheme="minorHAnsi" w:hAnsiTheme="minorHAnsi" w:cs="Calibri"/>
        </w:rPr>
        <w:t xml:space="preserve"> Corporate taxes have declined from 30.5 percent of federal revenue in 1953 to 7.9 percent in 2011. </w:t>
      </w:r>
      <w:proofErr w:type="gramStart"/>
      <w:r w:rsidRPr="005E7B77">
        <w:rPr>
          <w:rFonts w:asciiTheme="minorHAnsi" w:hAnsiTheme="minorHAnsi" w:cs="Calibri"/>
        </w:rPr>
        <w:t xml:space="preserve">Office of Management and Budget, Fiscal Year 2013 Budget, Historical Tables (Table 2.2), </w:t>
      </w:r>
      <w:hyperlink r:id="rId4" w:history="1">
        <w:r w:rsidRPr="005E7B77">
          <w:rPr>
            <w:rStyle w:val="Hyperlink"/>
            <w:rFonts w:asciiTheme="minorHAnsi" w:hAnsiTheme="minorHAnsi" w:cs="Calibri"/>
          </w:rPr>
          <w:t>http://www.whitehouse.gov/omb/budget/Historicals</w:t>
        </w:r>
      </w:hyperlink>
      <w:r w:rsidRPr="005E7B77">
        <w:rPr>
          <w:rStyle w:val="Hyperlink"/>
          <w:rFonts w:asciiTheme="minorHAnsi" w:hAnsiTheme="minorHAnsi" w:cs="Calibri"/>
        </w:rPr>
        <w:t>.</w:t>
      </w:r>
      <w:proofErr w:type="gramEnd"/>
    </w:p>
  </w:endnote>
  <w:endnote w:id="5">
    <w:p w:rsidR="00174D0F" w:rsidRPr="005E7B77" w:rsidRDefault="00174D0F" w:rsidP="0065212B">
      <w:pPr>
        <w:pStyle w:val="EndnoteText"/>
        <w:rPr>
          <w:rFonts w:asciiTheme="minorHAnsi" w:hAnsiTheme="minorHAnsi" w:cs="Calibri"/>
        </w:rPr>
      </w:pPr>
      <w:r w:rsidRPr="005E7B77">
        <w:rPr>
          <w:rStyle w:val="EndnoteReference"/>
          <w:rFonts w:asciiTheme="minorHAnsi" w:hAnsiTheme="minorHAnsi" w:cs="Calibri"/>
        </w:rPr>
        <w:endnoteRef/>
      </w:r>
      <w:r w:rsidRPr="005E7B77">
        <w:rPr>
          <w:rFonts w:asciiTheme="minorHAnsi" w:hAnsiTheme="minorHAnsi" w:cs="Calibri"/>
        </w:rPr>
        <w:t xml:space="preserve"> Ibid. (Table 1.2).</w:t>
      </w:r>
    </w:p>
  </w:endnote>
  <w:endnote w:id="6">
    <w:p w:rsidR="00174D0F" w:rsidRPr="005E7B77" w:rsidRDefault="00174D0F" w:rsidP="00BE4753">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CBO, “Options for Taxing U.S. Multinational Corporations” (Jan. 2013), p. 2, </w:t>
      </w:r>
      <w:hyperlink r:id="rId5" w:history="1">
        <w:r w:rsidRPr="005E7B77">
          <w:rPr>
            <w:rStyle w:val="Hyperlink"/>
            <w:rFonts w:asciiTheme="minorHAnsi" w:hAnsiTheme="minorHAnsi"/>
          </w:rPr>
          <w:t>http://www.cbo.gov/sites/default/files/cbofiles/attachments/43764-MultinationalTaxes.pdf</w:t>
        </w:r>
      </w:hyperlink>
      <w:r w:rsidRPr="005E7B77">
        <w:rPr>
          <w:rFonts w:asciiTheme="minorHAnsi" w:hAnsiTheme="minorHAnsi"/>
        </w:rPr>
        <w:t>.</w:t>
      </w:r>
    </w:p>
  </w:endnote>
  <w:endnote w:id="7">
    <w:p w:rsidR="00174D0F" w:rsidRPr="005E7B77" w:rsidRDefault="00174D0F" w:rsidP="00BE4753">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Kimberly A. </w:t>
      </w:r>
      <w:proofErr w:type="spellStart"/>
      <w:r w:rsidRPr="005E7B77">
        <w:rPr>
          <w:rFonts w:asciiTheme="minorHAnsi" w:hAnsiTheme="minorHAnsi"/>
        </w:rPr>
        <w:t>Clausing</w:t>
      </w:r>
      <w:proofErr w:type="spellEnd"/>
      <w:r w:rsidRPr="005E7B77">
        <w:rPr>
          <w:rFonts w:asciiTheme="minorHAnsi" w:hAnsiTheme="minorHAnsi"/>
        </w:rPr>
        <w:t xml:space="preserve">, “A Challenging Time for International Tax Policy,” </w:t>
      </w:r>
      <w:r w:rsidRPr="005E7B77">
        <w:rPr>
          <w:rFonts w:asciiTheme="minorHAnsi" w:hAnsiTheme="minorHAnsi"/>
          <w:i/>
        </w:rPr>
        <w:t>Tax Notes</w:t>
      </w:r>
      <w:r w:rsidRPr="005E7B77">
        <w:rPr>
          <w:rFonts w:asciiTheme="minorHAnsi" w:hAnsiTheme="minorHAnsi"/>
        </w:rPr>
        <w:t xml:space="preserve"> (July 16, 2012),</w:t>
      </w:r>
    </w:p>
    <w:p w:rsidR="00174D0F" w:rsidRPr="005E7B77" w:rsidRDefault="0058300F" w:rsidP="00BE4753">
      <w:pPr>
        <w:pStyle w:val="EndnoteText"/>
        <w:rPr>
          <w:rFonts w:asciiTheme="minorHAnsi" w:hAnsiTheme="minorHAnsi"/>
        </w:rPr>
      </w:pPr>
      <w:hyperlink r:id="rId6" w:history="1">
        <w:r w:rsidR="00174D0F" w:rsidRPr="005E7B77">
          <w:rPr>
            <w:rStyle w:val="Hyperlink"/>
            <w:rFonts w:asciiTheme="minorHAnsi" w:hAnsiTheme="minorHAnsi"/>
          </w:rPr>
          <w:t>http://www.taxanalysts.com/www/website.nsf/Web/HomePage/$file/clausing.pdf</w:t>
        </w:r>
      </w:hyperlink>
      <w:r w:rsidR="00174D0F" w:rsidRPr="005E7B77">
        <w:rPr>
          <w:rFonts w:asciiTheme="minorHAnsi" w:hAnsiTheme="minorHAnsi"/>
        </w:rPr>
        <w:t>.</w:t>
      </w:r>
    </w:p>
  </w:endnote>
  <w:endnote w:id="8">
    <w:p w:rsidR="00174D0F" w:rsidRPr="005E7B77" w:rsidRDefault="00174D0F" w:rsidP="00C96B50">
      <w:pPr>
        <w:pStyle w:val="EndnoteText"/>
        <w:rPr>
          <w:rFonts w:asciiTheme="minorHAnsi" w:hAnsiTheme="minorHAnsi"/>
        </w:rPr>
      </w:pPr>
      <w:r w:rsidRPr="005E7B77">
        <w:rPr>
          <w:rStyle w:val="EndnoteReference"/>
          <w:rFonts w:asciiTheme="minorHAnsi" w:hAnsiTheme="minorHAnsi" w:cs="Calibri"/>
        </w:rPr>
        <w:endnoteRef/>
      </w:r>
      <w:r w:rsidRPr="005E7B77">
        <w:rPr>
          <w:rFonts w:asciiTheme="minorHAnsi" w:hAnsiTheme="minorHAnsi" w:cs="Calibri"/>
        </w:rPr>
        <w:t xml:space="preserve"> Citizens for Tax Justice (</w:t>
      </w:r>
      <w:r w:rsidRPr="005E7B77">
        <w:rPr>
          <w:rFonts w:asciiTheme="minorHAnsi" w:hAnsiTheme="minorHAnsi"/>
        </w:rPr>
        <w:t>CTJ), “Working Paper on Tax Reform Options” (Feb. 4, 2013), p. 7</w:t>
      </w:r>
      <w:r w:rsidR="00363BCC">
        <w:rPr>
          <w:rFonts w:asciiTheme="minorHAnsi" w:hAnsiTheme="minorHAnsi"/>
        </w:rPr>
        <w:t xml:space="preserve">, </w:t>
      </w:r>
      <w:r w:rsidRPr="005E7B77">
        <w:rPr>
          <w:rFonts w:asciiTheme="minorHAnsi" w:hAnsiTheme="minorHAnsi"/>
        </w:rPr>
        <w:t xml:space="preserve"> </w:t>
      </w:r>
      <w:hyperlink r:id="rId7" w:history="1">
        <w:r w:rsidR="00363BCC" w:rsidRPr="005E7B77">
          <w:rPr>
            <w:rStyle w:val="Hyperlink"/>
            <w:rFonts w:asciiTheme="minorHAnsi" w:hAnsiTheme="minorHAnsi"/>
          </w:rPr>
          <w:t>http://ctj.org/pdf/workingpapertaxreform.pdf</w:t>
        </w:r>
      </w:hyperlink>
      <w:r w:rsidR="00363BCC">
        <w:rPr>
          <w:rStyle w:val="Hyperlink"/>
          <w:rFonts w:asciiTheme="minorHAnsi" w:hAnsiTheme="minorHAnsi"/>
        </w:rPr>
        <w:t xml:space="preserve"> </w:t>
      </w:r>
      <w:r w:rsidRPr="005E7B77">
        <w:rPr>
          <w:rFonts w:asciiTheme="minorHAnsi" w:hAnsiTheme="minorHAnsi"/>
        </w:rPr>
        <w:t xml:space="preserve">The CTJ working paper estimate for fiscal years 2014-2023 is based on Joint Committee on Taxation (JCT) </w:t>
      </w:r>
      <w:r w:rsidRPr="005E7B77">
        <w:rPr>
          <w:rFonts w:asciiTheme="minorHAnsi" w:hAnsiTheme="minorHAnsi" w:cs="Calibri"/>
        </w:rPr>
        <w:t>, “Estimated Revenue Effects of S. 3018, the ‘Bipartisan Tax Fairness and Simplification Act of 2010’” (Nov. 2, 2010), p. 3 item 10,</w:t>
      </w:r>
      <w:r>
        <w:rPr>
          <w:rFonts w:asciiTheme="minorHAnsi" w:hAnsiTheme="minorHAnsi" w:cs="Calibri"/>
        </w:rPr>
        <w:t xml:space="preserve"> </w:t>
      </w:r>
      <w:hyperlink r:id="rId8" w:history="1">
        <w:r w:rsidRPr="005E7B77">
          <w:rPr>
            <w:rStyle w:val="Hyperlink"/>
            <w:rFonts w:asciiTheme="minorHAnsi" w:hAnsiTheme="minorHAnsi" w:cs="Calibri"/>
          </w:rPr>
          <w:t>http://www.wyden.senate.gov/download/joint-committee-on-taxation-estimated-score-of-the-bipartisan-tax-fairness-and-simplification-act-of-2010</w:t>
        </w:r>
      </w:hyperlink>
      <w:r>
        <w:rPr>
          <w:rFonts w:asciiTheme="minorHAnsi" w:hAnsiTheme="minorHAnsi" w:cs="Calibri"/>
        </w:rPr>
        <w:t xml:space="preserve">. </w:t>
      </w:r>
      <w:r w:rsidRPr="005E7B77">
        <w:rPr>
          <w:rFonts w:asciiTheme="minorHAnsi" w:hAnsiTheme="minorHAnsi" w:cs="Calibri"/>
        </w:rPr>
        <w:t>The JCT revenue estimate also incl</w:t>
      </w:r>
      <w:r>
        <w:rPr>
          <w:rFonts w:asciiTheme="minorHAnsi" w:hAnsiTheme="minorHAnsi" w:cs="Calibri"/>
        </w:rPr>
        <w:t xml:space="preserve">udes the Wyden-Coats (formerly </w:t>
      </w:r>
      <w:r w:rsidRPr="005E7B77">
        <w:rPr>
          <w:rFonts w:asciiTheme="minorHAnsi" w:hAnsiTheme="minorHAnsi" w:cs="Calibri"/>
        </w:rPr>
        <w:t>Wyden-Gregg) proposal to impose a country-by-country limit on foreign tax credits.</w:t>
      </w:r>
    </w:p>
  </w:endnote>
  <w:endnote w:id="9">
    <w:p w:rsidR="00174D0F" w:rsidRPr="005E7B77" w:rsidRDefault="00174D0F" w:rsidP="00BE4753">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i/>
        </w:rPr>
        <w:t>Ibid</w:t>
      </w:r>
      <w:r w:rsidRPr="005E7B77">
        <w:rPr>
          <w:rFonts w:asciiTheme="minorHAnsi" w:hAnsiTheme="minorHAnsi"/>
        </w:rPr>
        <w:t>.,</w:t>
      </w:r>
      <w:proofErr w:type="gramEnd"/>
      <w:r w:rsidRPr="005E7B77">
        <w:rPr>
          <w:rFonts w:asciiTheme="minorHAnsi" w:hAnsiTheme="minorHAnsi"/>
        </w:rPr>
        <w:t xml:space="preserve"> pp. 10-13. These revenue figures are CTJ’s estimates for fiscal years 2014-2023 based on the JCT’s scores of the various proposals by President Obama for earlier 10-year budget periods. </w:t>
      </w:r>
    </w:p>
  </w:endnote>
  <w:endnote w:id="10">
    <w:p w:rsidR="00174D0F" w:rsidRPr="005E7B77" w:rsidRDefault="00174D0F" w:rsidP="00BE4753">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i/>
        </w:rPr>
        <w:t>Ibid.,</w:t>
      </w:r>
      <w:proofErr w:type="gramEnd"/>
      <w:r w:rsidRPr="005E7B77">
        <w:rPr>
          <w:rFonts w:asciiTheme="minorHAnsi" w:hAnsiTheme="minorHAnsi"/>
        </w:rPr>
        <w:t xml:space="preserve"> p. 10. The Treasury Department estimated a much higher revenue yield from reforming “check the box.” CTJ projects that the proposal would raise $115 billion over fiscal years 2014-2023 based on prior Treasury estimates.  </w:t>
      </w:r>
    </w:p>
  </w:endnote>
  <w:endnote w:id="11">
    <w:p w:rsidR="00174D0F" w:rsidRPr="005E7B77" w:rsidRDefault="00174D0F" w:rsidP="00E13EA4">
      <w:pPr>
        <w:spacing w:after="0" w:line="240" w:lineRule="auto"/>
        <w:rPr>
          <w:sz w:val="20"/>
          <w:szCs w:val="20"/>
        </w:rPr>
      </w:pPr>
      <w:r w:rsidRPr="005E7B77">
        <w:rPr>
          <w:rStyle w:val="EndnoteReference"/>
          <w:sz w:val="20"/>
          <w:szCs w:val="20"/>
        </w:rPr>
        <w:endnoteRef/>
      </w:r>
      <w:r w:rsidRPr="005E7B77">
        <w:rPr>
          <w:sz w:val="20"/>
          <w:szCs w:val="20"/>
        </w:rPr>
        <w:t xml:space="preserve"> </w:t>
      </w:r>
      <w:proofErr w:type="gramStart"/>
      <w:r w:rsidRPr="005E7B77">
        <w:rPr>
          <w:sz w:val="20"/>
          <w:szCs w:val="20"/>
        </w:rPr>
        <w:t xml:space="preserve">The White House and the Department of the Treasury, “The President’s Framework for Business Tax Reform,” (Feb. 2012), </w:t>
      </w:r>
      <w:hyperlink r:id="rId9" w:history="1">
        <w:r w:rsidRPr="005E7B77">
          <w:rPr>
            <w:rStyle w:val="Hyperlink"/>
            <w:sz w:val="20"/>
            <w:szCs w:val="20"/>
          </w:rPr>
          <w:t>http://www.treasury.gov/resource-center/tax-policy/Documents/The-Presidents-Framework-for-Business-Tax-Reform-02-22-2012.pdf</w:t>
        </w:r>
      </w:hyperlink>
      <w:r w:rsidRPr="005E7B77">
        <w:rPr>
          <w:sz w:val="20"/>
          <w:szCs w:val="20"/>
        </w:rPr>
        <w:t>.</w:t>
      </w:r>
      <w:proofErr w:type="gramEnd"/>
    </w:p>
  </w:endnote>
  <w:endnote w:id="12">
    <w:p w:rsidR="00174D0F" w:rsidRPr="005E7B77" w:rsidRDefault="00174D0F">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rPr>
        <w:t xml:space="preserve">CTJ, “Policy Options to Raise Revenue” (March 8, 2012), p. 12, </w:t>
      </w:r>
      <w:hyperlink r:id="rId10" w:history="1">
        <w:r w:rsidRPr="005E7B77">
          <w:rPr>
            <w:rStyle w:val="Hyperlink"/>
            <w:rFonts w:asciiTheme="minorHAnsi" w:hAnsiTheme="minorHAnsi"/>
          </w:rPr>
          <w:t>http://ctj.org/pdf/revenueraisers2012.pdf</w:t>
        </w:r>
      </w:hyperlink>
      <w:r w:rsidRPr="005E7B77">
        <w:rPr>
          <w:rStyle w:val="Hyperlink"/>
          <w:rFonts w:asciiTheme="minorHAnsi" w:hAnsiTheme="minorHAnsi"/>
        </w:rPr>
        <w:t>.</w:t>
      </w:r>
      <w:proofErr w:type="gramEnd"/>
    </w:p>
  </w:endnote>
  <w:endnote w:id="13">
    <w:p w:rsidR="00174D0F" w:rsidRPr="005E7B77" w:rsidRDefault="00174D0F">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r w:rsidRPr="005E7B77">
        <w:rPr>
          <w:rFonts w:asciiTheme="minorHAnsi" w:hAnsiTheme="minorHAnsi" w:cstheme="minorHAnsi"/>
          <w:color w:val="000000"/>
        </w:rPr>
        <w:t xml:space="preserve">JCT, Estimated Budget Effects of the Revenue Proposals Contained in the President’s Fiscal Year 2013 Budget Proposal (JCX-27-12) (March 21, 2012), </w:t>
      </w:r>
      <w:r w:rsidRPr="005E7B77">
        <w:rPr>
          <w:rFonts w:asciiTheme="minorHAnsi" w:hAnsiTheme="minorHAnsi"/>
        </w:rPr>
        <w:t xml:space="preserve">Section XIV, H and I, p. 11, </w:t>
      </w:r>
      <w:hyperlink r:id="rId11" w:tgtFrame="_blank" w:history="1">
        <w:r w:rsidRPr="005E7B77">
          <w:rPr>
            <w:rStyle w:val="Hyperlink"/>
            <w:rFonts w:asciiTheme="minorHAnsi" w:hAnsiTheme="minorHAnsi" w:cstheme="minorHAnsi"/>
          </w:rPr>
          <w:t>https://www.jct.gov/publications.html?func=startdown&amp;id=4413</w:t>
        </w:r>
      </w:hyperlink>
      <w:r w:rsidRPr="005E7B77">
        <w:rPr>
          <w:rFonts w:asciiTheme="minorHAnsi" w:hAnsiTheme="minorHAnsi"/>
        </w:rPr>
        <w:t xml:space="preserve"> </w:t>
      </w:r>
    </w:p>
  </w:endnote>
  <w:endnote w:id="14">
    <w:p w:rsidR="00174D0F" w:rsidRPr="005E7B77" w:rsidRDefault="00174D0F">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Contract price of crude oil was $97.01 for March 13, 2013, </w:t>
      </w:r>
      <w:r w:rsidRPr="005E7B77">
        <w:rPr>
          <w:rFonts w:asciiTheme="minorHAnsi" w:hAnsiTheme="minorHAnsi"/>
          <w:i/>
        </w:rPr>
        <w:t>see</w:t>
      </w:r>
      <w:r w:rsidRPr="005E7B77">
        <w:rPr>
          <w:rFonts w:asciiTheme="minorHAnsi" w:hAnsiTheme="minorHAnsi"/>
        </w:rPr>
        <w:t xml:space="preserve"> </w:t>
      </w:r>
      <w:hyperlink r:id="rId12" w:history="1">
        <w:r w:rsidRPr="005E7B77">
          <w:rPr>
            <w:rStyle w:val="Hyperlink"/>
            <w:rFonts w:asciiTheme="minorHAnsi" w:hAnsiTheme="minorHAnsi"/>
          </w:rPr>
          <w:t>http://www.bloomberg.com/energy/</w:t>
        </w:r>
      </w:hyperlink>
      <w:r w:rsidRPr="005E7B77">
        <w:rPr>
          <w:rFonts w:asciiTheme="minorHAnsi" w:hAnsiTheme="minorHAnsi"/>
        </w:rPr>
        <w:t xml:space="preserve"> (Feb</w:t>
      </w:r>
      <w:r>
        <w:rPr>
          <w:rFonts w:asciiTheme="minorHAnsi" w:hAnsiTheme="minorHAnsi"/>
        </w:rPr>
        <w:t>.</w:t>
      </w:r>
      <w:r w:rsidRPr="005E7B77">
        <w:rPr>
          <w:rFonts w:asciiTheme="minorHAnsi" w:hAnsiTheme="minorHAnsi"/>
        </w:rPr>
        <w:t xml:space="preserve"> 12, 2013).</w:t>
      </w:r>
    </w:p>
  </w:endnote>
  <w:endnote w:id="15">
    <w:p w:rsidR="00174D0F" w:rsidRPr="005E7B77" w:rsidRDefault="00174D0F">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r w:rsidR="00071308">
        <w:rPr>
          <w:rFonts w:asciiTheme="minorHAnsi" w:hAnsiTheme="minorHAnsi"/>
        </w:rPr>
        <w:t xml:space="preserve">JCT, (JCX-27-12) </w:t>
      </w:r>
      <w:r w:rsidRPr="005E7B77">
        <w:rPr>
          <w:rFonts w:asciiTheme="minorHAnsi" w:hAnsiTheme="minorHAnsi"/>
        </w:rPr>
        <w:t>Section XIII, pp. 10-11</w:t>
      </w:r>
      <w:r w:rsidR="00071308">
        <w:rPr>
          <w:rFonts w:asciiTheme="minorHAnsi" w:hAnsiTheme="minorHAnsi"/>
        </w:rPr>
        <w:t xml:space="preserve">, </w:t>
      </w:r>
      <w:r w:rsidR="00071308">
        <w:rPr>
          <w:rFonts w:asciiTheme="minorHAnsi" w:hAnsiTheme="minorHAnsi"/>
          <w:i/>
        </w:rPr>
        <w:t xml:space="preserve">supra </w:t>
      </w:r>
      <w:r w:rsidR="00071308">
        <w:rPr>
          <w:rFonts w:asciiTheme="minorHAnsi" w:hAnsiTheme="minorHAnsi"/>
        </w:rPr>
        <w:t>note 13</w:t>
      </w:r>
      <w:r w:rsidRPr="005E7B77">
        <w:rPr>
          <w:rFonts w:asciiTheme="minorHAnsi" w:hAnsiTheme="minorHAnsi"/>
        </w:rPr>
        <w:t>. This estimate does not include the Obama Administration’s proposal to reform the rules regarding “dual capacity” taxpayers. Though oil companies are a principal beneficiary of the existing “dual capacity” rules, that reform proposal is included in the previous section on international tax loopholes.</w:t>
      </w:r>
    </w:p>
  </w:endnote>
  <w:endnote w:id="16">
    <w:p w:rsidR="00174D0F" w:rsidRPr="005E7B77" w:rsidRDefault="00174D0F">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See CTJ, “Policy Options to Raise Revenue,” pp. 15-16</w:t>
      </w:r>
      <w:r w:rsidR="00071308">
        <w:rPr>
          <w:rFonts w:asciiTheme="minorHAnsi" w:hAnsiTheme="minorHAnsi"/>
        </w:rPr>
        <w:t>,</w:t>
      </w:r>
      <w:r w:rsidRPr="005E7B77">
        <w:rPr>
          <w:rFonts w:asciiTheme="minorHAnsi" w:hAnsiTheme="minorHAnsi"/>
        </w:rPr>
        <w:t xml:space="preserve"> </w:t>
      </w:r>
      <w:r w:rsidRPr="005E7B77">
        <w:rPr>
          <w:rFonts w:asciiTheme="minorHAnsi" w:hAnsiTheme="minorHAnsi"/>
          <w:i/>
        </w:rPr>
        <w:t xml:space="preserve">supra </w:t>
      </w:r>
      <w:proofErr w:type="gramStart"/>
      <w:r w:rsidRPr="00071308">
        <w:rPr>
          <w:rFonts w:asciiTheme="minorHAnsi" w:hAnsiTheme="minorHAnsi"/>
        </w:rPr>
        <w:t>note</w:t>
      </w:r>
      <w:proofErr w:type="gramEnd"/>
      <w:r w:rsidRPr="00071308">
        <w:rPr>
          <w:rFonts w:asciiTheme="minorHAnsi" w:hAnsiTheme="minorHAnsi"/>
        </w:rPr>
        <w:t xml:space="preserve"> </w:t>
      </w:r>
      <w:r w:rsidRPr="005E7B77">
        <w:rPr>
          <w:rFonts w:asciiTheme="minorHAnsi" w:hAnsiTheme="minorHAnsi"/>
          <w:i/>
        </w:rPr>
        <w:t>12.</w:t>
      </w:r>
      <w:r w:rsidRPr="005E7B77">
        <w:rPr>
          <w:rFonts w:asciiTheme="minorHAnsi" w:hAnsiTheme="minorHAnsi"/>
        </w:rPr>
        <w:t xml:space="preserve"> </w:t>
      </w:r>
    </w:p>
  </w:endnote>
  <w:endnote w:id="17">
    <w:p w:rsidR="00174D0F" w:rsidRPr="005E7B77" w:rsidRDefault="00174D0F">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rPr>
        <w:t>Unpublished JCT source confirmed by Sen. Levin’s tax counsel (Feb. 6, 2013); S. 1375 and S. 2075, 112</w:t>
      </w:r>
      <w:r w:rsidRPr="005E7B77">
        <w:rPr>
          <w:rFonts w:asciiTheme="minorHAnsi" w:hAnsiTheme="minorHAnsi"/>
          <w:vertAlign w:val="superscript"/>
        </w:rPr>
        <w:t>th</w:t>
      </w:r>
      <w:r w:rsidRPr="005E7B77">
        <w:rPr>
          <w:rFonts w:asciiTheme="minorHAnsi" w:hAnsiTheme="minorHAnsi"/>
        </w:rPr>
        <w:t xml:space="preserve"> Congress, </w:t>
      </w:r>
      <w:hyperlink r:id="rId13" w:history="1">
        <w:r w:rsidRPr="005E7B77">
          <w:rPr>
            <w:rStyle w:val="Hyperlink"/>
            <w:rFonts w:asciiTheme="minorHAnsi" w:hAnsiTheme="minorHAnsi"/>
          </w:rPr>
          <w:t>http://www.levin.senate.gov/newsroom/press/release/levin-brown-bill-would-end-corporate-stock-option-tax-break-reduce-deficit-by-25-billion</w:t>
        </w:r>
      </w:hyperlink>
      <w:r w:rsidRPr="005E7B77">
        <w:rPr>
          <w:rStyle w:val="Hyperlink"/>
          <w:rFonts w:asciiTheme="minorHAnsi" w:hAnsiTheme="minorHAnsi"/>
        </w:rPr>
        <w:t>.</w:t>
      </w:r>
      <w:proofErr w:type="gramEnd"/>
    </w:p>
  </w:endnote>
  <w:endnote w:id="18">
    <w:p w:rsidR="00174D0F" w:rsidRPr="005E7B77" w:rsidRDefault="00174D0F" w:rsidP="00D30FB5">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spellStart"/>
      <w:r w:rsidRPr="005E7B77">
        <w:rPr>
          <w:rFonts w:asciiTheme="minorHAnsi" w:hAnsiTheme="minorHAnsi" w:cstheme="minorHAnsi"/>
        </w:rPr>
        <w:t>Bebchuk</w:t>
      </w:r>
      <w:proofErr w:type="spellEnd"/>
      <w:r w:rsidRPr="005E7B77">
        <w:rPr>
          <w:rFonts w:asciiTheme="minorHAnsi" w:hAnsiTheme="minorHAnsi" w:cstheme="minorHAnsi"/>
        </w:rPr>
        <w:t xml:space="preserve"> and Fried (2004):  </w:t>
      </w:r>
      <w:r w:rsidRPr="005E7B77">
        <w:rPr>
          <w:rFonts w:asciiTheme="minorHAnsi" w:hAnsiTheme="minorHAnsi" w:cstheme="minorHAnsi"/>
          <w:i/>
        </w:rPr>
        <w:t xml:space="preserve">Pay </w:t>
      </w:r>
      <w:proofErr w:type="gramStart"/>
      <w:r w:rsidRPr="005E7B77">
        <w:rPr>
          <w:rFonts w:asciiTheme="minorHAnsi" w:hAnsiTheme="minorHAnsi" w:cstheme="minorHAnsi"/>
          <w:i/>
        </w:rPr>
        <w:t>Without</w:t>
      </w:r>
      <w:proofErr w:type="gramEnd"/>
      <w:r w:rsidRPr="005E7B77">
        <w:rPr>
          <w:rFonts w:asciiTheme="minorHAnsi" w:hAnsiTheme="minorHAnsi" w:cstheme="minorHAnsi"/>
          <w:i/>
        </w:rPr>
        <w:t xml:space="preserve"> Performance: </w:t>
      </w:r>
      <w:r w:rsidRPr="005E7B77">
        <w:rPr>
          <w:rFonts w:asciiTheme="minorHAnsi" w:hAnsiTheme="minorHAnsi" w:cstheme="minorHAnsi"/>
          <w:i/>
          <w:iCs/>
        </w:rPr>
        <w:t xml:space="preserve">The Unfulfilled Promise of Executive Compensation, </w:t>
      </w:r>
      <w:r w:rsidRPr="005E7B77">
        <w:rPr>
          <w:rFonts w:asciiTheme="minorHAnsi" w:hAnsiTheme="minorHAnsi" w:cstheme="minorHAnsi"/>
        </w:rPr>
        <w:t>Cambridge, MA: Harvard University Press (2004).</w:t>
      </w:r>
    </w:p>
  </w:endnote>
  <w:endnote w:id="19">
    <w:p w:rsidR="00174D0F" w:rsidRPr="005E7B77" w:rsidRDefault="00174D0F" w:rsidP="00D30FB5">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Based on data in Balsam, Steven, “Taxes and Executive Compensation,” EPI Briefing Paper #344, Economic Policy Institute (Aug. 14, 2012) </w:t>
      </w:r>
      <w:hyperlink r:id="rId14" w:history="1">
        <w:r w:rsidR="00071308" w:rsidRPr="00DE5552">
          <w:rPr>
            <w:rStyle w:val="Hyperlink"/>
            <w:rFonts w:asciiTheme="minorHAnsi" w:hAnsiTheme="minorHAnsi"/>
          </w:rPr>
          <w:t>http://www.epi.org/publication/taxes-executive-compensation/</w:t>
        </w:r>
      </w:hyperlink>
      <w:r w:rsidRPr="005E7B77">
        <w:rPr>
          <w:rFonts w:asciiTheme="minorHAnsi" w:hAnsiTheme="minorHAnsi"/>
        </w:rPr>
        <w:t xml:space="preserve">. This report calculates the total value of performance-based compensation from 2007-2010 to be $66.4 billion, or $16.6 billion per year on average.  At a conservative tax rate of 25 percent, this equals $4.15 billion per year. </w:t>
      </w:r>
    </w:p>
  </w:endnote>
  <w:endnote w:id="20">
    <w:p w:rsidR="00174D0F" w:rsidRPr="005E7B77" w:rsidRDefault="00174D0F" w:rsidP="00477E0F">
      <w:pPr>
        <w:pStyle w:val="EndnoteText"/>
        <w:rPr>
          <w:rFonts w:asciiTheme="minorHAnsi" w:hAnsiTheme="minorHAnsi"/>
        </w:rPr>
      </w:pPr>
      <w:r w:rsidRPr="005E7B77">
        <w:rPr>
          <w:rStyle w:val="EndnoteReference"/>
          <w:rFonts w:asciiTheme="minorHAnsi" w:hAnsiTheme="minorHAnsi" w:cs="Calibri"/>
        </w:rPr>
        <w:endnoteRef/>
      </w:r>
      <w:r w:rsidRPr="005E7B77">
        <w:rPr>
          <w:rFonts w:asciiTheme="minorHAnsi" w:hAnsiTheme="minorHAnsi" w:cs="Calibri"/>
        </w:rPr>
        <w:t xml:space="preserve"> </w:t>
      </w:r>
      <w:proofErr w:type="gramStart"/>
      <w:r w:rsidRPr="005E7B77">
        <w:rPr>
          <w:rFonts w:asciiTheme="minorHAnsi" w:hAnsiTheme="minorHAnsi" w:cs="Calibri"/>
        </w:rPr>
        <w:t xml:space="preserve">Letter from Sen. Tom Harkin to Co-Chairs of the Joint Select Committee on Deficit Reduction </w:t>
      </w:r>
      <w:r w:rsidRPr="005E7B77">
        <w:rPr>
          <w:rFonts w:asciiTheme="minorHAnsi" w:hAnsiTheme="minorHAnsi" w:cs="Calibri"/>
          <w:color w:val="333333"/>
        </w:rPr>
        <w:t>(Nov. 8, 2011),</w:t>
      </w:r>
      <w:r w:rsidRPr="005E7B77">
        <w:rPr>
          <w:rStyle w:val="Hyperlink"/>
          <w:rFonts w:asciiTheme="minorHAnsi" w:hAnsiTheme="minorHAnsi" w:cs="Calibri"/>
        </w:rPr>
        <w:t xml:space="preserve"> http://www.harkin.senate.gov/documents/pdf/4eb9a83a52ae2.pdf.</w:t>
      </w:r>
      <w:proofErr w:type="gramEnd"/>
    </w:p>
  </w:endnote>
  <w:endnote w:id="21">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r w:rsidRPr="005E7B77">
        <w:rPr>
          <w:rFonts w:asciiTheme="minorHAnsi" w:hAnsiTheme="minorHAnsi"/>
        </w:rPr>
        <w:t>CTJ</w:t>
      </w:r>
      <w:bookmarkStart w:id="0" w:name="_GoBack"/>
      <w:bookmarkEnd w:id="0"/>
      <w:r w:rsidRPr="005E7B77">
        <w:rPr>
          <w:rFonts w:asciiTheme="minorHAnsi" w:hAnsiTheme="minorHAnsi"/>
        </w:rPr>
        <w:t xml:space="preserve">, “Working Paper on Tax Reform Options” (Feb. 4, 2013), pp. 13-14, </w:t>
      </w:r>
      <w:hyperlink r:id="rId15" w:history="1">
        <w:r w:rsidRPr="005E7B77">
          <w:rPr>
            <w:rStyle w:val="Hyperlink"/>
            <w:rFonts w:asciiTheme="minorHAnsi" w:hAnsiTheme="minorHAnsi"/>
          </w:rPr>
          <w:t>http://ctj.org/pdf/workingpapertaxreform.pdf</w:t>
        </w:r>
      </w:hyperlink>
      <w:r w:rsidRPr="005E7B77">
        <w:rPr>
          <w:rFonts w:asciiTheme="minorHAnsi" w:hAnsiTheme="minorHAnsi"/>
        </w:rPr>
        <w:t>. This estimate for 2014-2023 is based on previous Joint Committee on Taxation estimates of the proposal, and takes into account changes made by the American Tax Reform Act. The Treasury Department’s past estimates for the proposal were higher than JCT’s, which CTJ estimates would raise $583 billion over the same period.</w:t>
      </w:r>
    </w:p>
  </w:endnote>
  <w:endnote w:id="22">
    <w:p w:rsidR="00174D0F" w:rsidRPr="005E7B77" w:rsidRDefault="00174D0F" w:rsidP="00B572B4">
      <w:pPr>
        <w:pStyle w:val="Foot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r w:rsidRPr="005E7B77">
        <w:rPr>
          <w:rFonts w:asciiTheme="minorHAnsi" w:hAnsiTheme="minorHAnsi" w:cs="Calibri"/>
        </w:rPr>
        <w:t>Lawrence Summers, “How to target untaxed wealth,” Reuters blog (Dec. 17, 2012),</w:t>
      </w:r>
      <w:r w:rsidRPr="005E7B77">
        <w:rPr>
          <w:rFonts w:asciiTheme="minorHAnsi" w:hAnsiTheme="minorHAnsi"/>
        </w:rPr>
        <w:t xml:space="preserve"> </w:t>
      </w:r>
      <w:hyperlink r:id="rId16" w:history="1">
        <w:r w:rsidRPr="005E7B77">
          <w:rPr>
            <w:rFonts w:asciiTheme="minorHAnsi" w:eastAsia="Times New Roman" w:hAnsiTheme="minorHAnsi"/>
            <w:color w:val="0000FF"/>
            <w:u w:val="single"/>
          </w:rPr>
          <w:t>http://blogs.reuters.com/lawrencesummers/2012/12/17/how-to-target-untaxed-wealth/</w:t>
        </w:r>
      </w:hyperlink>
      <w:r w:rsidRPr="005E7B77">
        <w:rPr>
          <w:rFonts w:asciiTheme="minorHAnsi" w:eastAsia="Times New Roman" w:hAnsiTheme="minorHAnsi"/>
        </w:rPr>
        <w:t xml:space="preserve"> </w:t>
      </w:r>
    </w:p>
  </w:endnote>
  <w:endnote w:id="23">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rPr>
        <w:t xml:space="preserve">Chye-Ching Huang &amp; Chuck Marr, CBPP, “Raising Today’s Low Capital Gains Tax Rates Could Promote Economic Efficiency and Fairness, While Helping to Reduce Deficits” (Sept. 19, 2012), p. 25, </w:t>
      </w:r>
      <w:hyperlink r:id="rId17" w:history="1">
        <w:r w:rsidRPr="005E7B77">
          <w:rPr>
            <w:rStyle w:val="Hyperlink"/>
            <w:rFonts w:asciiTheme="minorHAnsi" w:hAnsiTheme="minorHAnsi"/>
          </w:rPr>
          <w:t>http://www.cbpp.org/files/9-19-12tax.pdf</w:t>
        </w:r>
      </w:hyperlink>
      <w:r w:rsidRPr="005E7B77">
        <w:rPr>
          <w:rStyle w:val="Hyperlink"/>
          <w:rFonts w:asciiTheme="minorHAnsi" w:hAnsiTheme="minorHAnsi"/>
        </w:rPr>
        <w:t>.</w:t>
      </w:r>
      <w:proofErr w:type="gramEnd"/>
    </w:p>
  </w:endnote>
  <w:endnote w:id="24">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rPr>
        <w:t xml:space="preserve">JCT, “Estimates of Federal Tax Expenditures for Fiscal Years 2012-2017,” (Feb. 1, 2013), JCS-1-13, p. 34, </w:t>
      </w:r>
      <w:hyperlink r:id="rId18" w:history="1">
        <w:r w:rsidRPr="005E7B77">
          <w:rPr>
            <w:rStyle w:val="Hyperlink"/>
            <w:rFonts w:asciiTheme="minorHAnsi" w:hAnsiTheme="minorHAnsi"/>
          </w:rPr>
          <w:t>https://www.jct.gov/publications.html?func=startdown&amp;id=4503</w:t>
        </w:r>
      </w:hyperlink>
      <w:r w:rsidRPr="005E7B77">
        <w:rPr>
          <w:rFonts w:asciiTheme="minorHAnsi" w:hAnsiTheme="minorHAnsi"/>
        </w:rPr>
        <w:t>.</w:t>
      </w:r>
      <w:proofErr w:type="gramEnd"/>
      <w:r w:rsidRPr="005E7B77">
        <w:rPr>
          <w:rFonts w:asciiTheme="minorHAnsi" w:hAnsiTheme="minorHAnsi"/>
        </w:rPr>
        <w:t xml:space="preserve">  </w:t>
      </w:r>
      <w:r w:rsidRPr="005E7B77">
        <w:rPr>
          <w:rFonts w:asciiTheme="minorHAnsi" w:hAnsiTheme="minorHAnsi" w:cstheme="minorHAnsi"/>
          <w:color w:val="222222"/>
          <w:shd w:val="clear" w:color="auto" w:fill="FFFFFF"/>
        </w:rPr>
        <w:t>JCT estimated the revenue gain at $258 billion from 2013-2017, which over 10 years would be at least $516 billion.</w:t>
      </w:r>
    </w:p>
  </w:endnote>
  <w:endnote w:id="25">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An existing provision already excludes an amount of gain on homes from capital gains tax.</w:t>
      </w:r>
    </w:p>
  </w:endnote>
  <w:endnote w:id="26">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This policy proposal was not mentioned in the “Moment of Truth” report, but was contained in the revenue analysis done for the commission by the Tax Policy Center</w:t>
      </w:r>
      <w:r w:rsidR="00071308">
        <w:rPr>
          <w:rFonts w:asciiTheme="minorHAnsi" w:hAnsiTheme="minorHAnsi"/>
        </w:rPr>
        <w:t xml:space="preserve"> (TPC)</w:t>
      </w:r>
      <w:r w:rsidRPr="005E7B77">
        <w:rPr>
          <w:rFonts w:asciiTheme="minorHAnsi" w:hAnsiTheme="minorHAnsi"/>
        </w:rPr>
        <w:t xml:space="preserve">, T10-0247, Bowles-Simpson Deficit Commission (Nov. 16, 2010), </w:t>
      </w:r>
      <w:hyperlink r:id="rId19" w:tgtFrame="_blank" w:history="1">
        <w:r w:rsidRPr="005E7B77">
          <w:rPr>
            <w:rStyle w:val="Hyperlink"/>
            <w:rFonts w:asciiTheme="minorHAnsi" w:hAnsiTheme="minorHAnsi" w:cstheme="minorHAnsi"/>
            <w:color w:val="1155CC"/>
            <w:shd w:val="clear" w:color="auto" w:fill="FFFFFF"/>
          </w:rPr>
          <w:t>http://www.taxpolicycenter.org/numbers/displayatab.cfm?Docid=2846&amp;DocTypeID=2</w:t>
        </w:r>
      </w:hyperlink>
      <w:r w:rsidRPr="005E7B77">
        <w:rPr>
          <w:rFonts w:asciiTheme="minorHAnsi" w:hAnsiTheme="minorHAnsi" w:cstheme="minorHAnsi"/>
        </w:rPr>
        <w:t>.</w:t>
      </w:r>
    </w:p>
  </w:endnote>
  <w:endnote w:id="27">
    <w:p w:rsidR="00174D0F" w:rsidRPr="005E7B77" w:rsidRDefault="00174D0F" w:rsidP="005E7B77">
      <w:pPr>
        <w:pStyle w:val="CommentText"/>
        <w:spacing w:after="0"/>
        <w:rPr>
          <w:rFonts w:cs="Calibri"/>
        </w:rPr>
      </w:pPr>
      <w:r w:rsidRPr="005E7B77">
        <w:rPr>
          <w:rStyle w:val="EndnoteReference"/>
          <w:rFonts w:cs="Calibri"/>
        </w:rPr>
        <w:endnoteRef/>
      </w:r>
      <w:r w:rsidRPr="005E7B77">
        <w:rPr>
          <w:rFonts w:cs="Calibri"/>
        </w:rPr>
        <w:t xml:space="preserve"> </w:t>
      </w:r>
      <w:proofErr w:type="gramStart"/>
      <w:r w:rsidRPr="005E7B77">
        <w:t xml:space="preserve">NWLC calculations based on Tax Policy Center Table T09-0492, Distribution of Long-Term Capital Gains and Qualified Dividends by Cash Income Percentile, 2012 </w:t>
      </w:r>
      <w:r w:rsidRPr="005E7B77">
        <w:rPr>
          <w:i/>
        </w:rPr>
        <w:t>available at</w:t>
      </w:r>
      <w:r w:rsidRPr="005E7B77">
        <w:t xml:space="preserve"> </w:t>
      </w:r>
      <w:hyperlink r:id="rId20" w:history="1">
        <w:r w:rsidRPr="005E7B77">
          <w:rPr>
            <w:rStyle w:val="Hyperlink"/>
          </w:rPr>
          <w:t>http://www.taxpolicycenter.org/numbers/Content/PDF/T09-0492.pdf</w:t>
        </w:r>
      </w:hyperlink>
      <w:r w:rsidRPr="005E7B77">
        <w:t>.</w:t>
      </w:r>
      <w:proofErr w:type="gramEnd"/>
      <w:r w:rsidRPr="005E7B77" w:rsidDel="004E5B1E">
        <w:rPr>
          <w:rFonts w:cs="Calibri"/>
        </w:rPr>
        <w:t xml:space="preserve"> </w:t>
      </w:r>
      <w:r w:rsidRPr="005E7B77">
        <w:rPr>
          <w:rStyle w:val="Hyperlink"/>
          <w:rFonts w:cs="Calibri"/>
        </w:rPr>
        <w:t xml:space="preserve"> </w:t>
      </w:r>
    </w:p>
  </w:endnote>
  <w:endnote w:id="28">
    <w:p w:rsidR="00174D0F" w:rsidRPr="005E7B77" w:rsidRDefault="00174D0F" w:rsidP="005E7B77">
      <w:pPr>
        <w:shd w:val="clear" w:color="auto" w:fill="FFFFFF"/>
        <w:spacing w:after="0" w:line="240" w:lineRule="auto"/>
        <w:rPr>
          <w:sz w:val="20"/>
          <w:szCs w:val="20"/>
        </w:rPr>
      </w:pPr>
      <w:r w:rsidRPr="005E7B77">
        <w:rPr>
          <w:rStyle w:val="EndnoteReference"/>
          <w:sz w:val="20"/>
          <w:szCs w:val="20"/>
        </w:rPr>
        <w:endnoteRef/>
      </w:r>
      <w:r w:rsidRPr="005E7B77">
        <w:rPr>
          <w:rFonts w:cstheme="minorHAnsi"/>
          <w:i/>
          <w:color w:val="222222"/>
          <w:sz w:val="20"/>
          <w:szCs w:val="20"/>
        </w:rPr>
        <w:t>Ibid.</w:t>
      </w:r>
    </w:p>
  </w:endnote>
  <w:endnote w:id="29">
    <w:p w:rsidR="00174D0F" w:rsidRPr="005E7B77" w:rsidRDefault="00174D0F" w:rsidP="00B572B4">
      <w:pPr>
        <w:pStyle w:val="EndnoteText"/>
        <w:rPr>
          <w:rFonts w:asciiTheme="minorHAnsi" w:hAnsiTheme="minorHAnsi" w:cs="Calibri"/>
        </w:rPr>
      </w:pPr>
      <w:r w:rsidRPr="005E7B77">
        <w:rPr>
          <w:rStyle w:val="EndnoteReference"/>
          <w:rFonts w:asciiTheme="minorHAnsi" w:hAnsiTheme="minorHAnsi" w:cs="Calibri"/>
        </w:rPr>
        <w:endnoteRef/>
      </w:r>
      <w:r w:rsidRPr="005E7B77">
        <w:rPr>
          <w:rFonts w:asciiTheme="minorHAnsi" w:hAnsiTheme="minorHAnsi" w:cs="Calibri"/>
        </w:rPr>
        <w:t xml:space="preserve"> </w:t>
      </w:r>
      <w:r w:rsidRPr="005E7B77">
        <w:rPr>
          <w:rFonts w:asciiTheme="minorHAnsi" w:hAnsiTheme="minorHAnsi"/>
          <w:bCs/>
          <w:lang w:val="en"/>
        </w:rPr>
        <w:t xml:space="preserve">Tax Reform Act of 1986, Pub. L. 99-514, 100 Stat. 2085 (1986).  </w:t>
      </w:r>
    </w:p>
  </w:endnote>
  <w:endnote w:id="30">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Donald </w:t>
      </w:r>
      <w:proofErr w:type="spellStart"/>
      <w:r w:rsidRPr="005E7B77">
        <w:rPr>
          <w:rFonts w:asciiTheme="minorHAnsi" w:hAnsiTheme="minorHAnsi"/>
        </w:rPr>
        <w:t>Marron</w:t>
      </w:r>
      <w:proofErr w:type="spellEnd"/>
      <w:r w:rsidRPr="005E7B77">
        <w:rPr>
          <w:rFonts w:asciiTheme="minorHAnsi" w:hAnsiTheme="minorHAnsi"/>
        </w:rPr>
        <w:t>, T</w:t>
      </w:r>
      <w:r w:rsidR="00071308">
        <w:rPr>
          <w:rFonts w:asciiTheme="minorHAnsi" w:hAnsiTheme="minorHAnsi"/>
        </w:rPr>
        <w:t>PC</w:t>
      </w:r>
      <w:r w:rsidRPr="005E7B77">
        <w:rPr>
          <w:rFonts w:asciiTheme="minorHAnsi" w:hAnsiTheme="minorHAnsi"/>
        </w:rPr>
        <w:t xml:space="preserve">, “Health Reform’s Tax on Investment Income:  Facts and Myths,” </w:t>
      </w:r>
      <w:r w:rsidRPr="005E7B77">
        <w:rPr>
          <w:rFonts w:asciiTheme="minorHAnsi" w:hAnsiTheme="minorHAnsi"/>
          <w:i/>
        </w:rPr>
        <w:t>Tax Notes</w:t>
      </w:r>
      <w:r w:rsidRPr="005E7B77">
        <w:rPr>
          <w:rFonts w:asciiTheme="minorHAnsi" w:hAnsiTheme="minorHAnsi"/>
        </w:rPr>
        <w:t xml:space="preserve"> (January 30, 2012), </w:t>
      </w:r>
      <w:hyperlink r:id="rId21" w:history="1">
        <w:r w:rsidRPr="005E7B77">
          <w:rPr>
            <w:rStyle w:val="Hyperlink"/>
            <w:rFonts w:asciiTheme="minorHAnsi" w:hAnsiTheme="minorHAnsi"/>
          </w:rPr>
          <w:t>http://www.taxpolicycenter.org/UploadedPDF/1001585-TN-health-reform-investment-facts-myths.pdf</w:t>
        </w:r>
      </w:hyperlink>
      <w:r w:rsidRPr="005E7B77">
        <w:rPr>
          <w:rFonts w:asciiTheme="minorHAnsi" w:hAnsiTheme="minorHAnsi"/>
        </w:rPr>
        <w:t xml:space="preserve">. </w:t>
      </w:r>
    </w:p>
  </w:endnote>
  <w:endnote w:id="31">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cs="Arial"/>
          <w:color w:val="222222"/>
          <w:shd w:val="clear" w:color="auto" w:fill="FFFFFF"/>
        </w:rPr>
        <w:t xml:space="preserve"> </w:t>
      </w:r>
      <w:r w:rsidRPr="005E7B77">
        <w:rPr>
          <w:rFonts w:asciiTheme="minorHAnsi" w:hAnsiTheme="minorHAnsi" w:cstheme="minorHAnsi"/>
          <w:color w:val="222222"/>
          <w:shd w:val="clear" w:color="auto" w:fill="FFFFFF"/>
        </w:rPr>
        <w:t>In 2012, Citizens for Tax Justice estimated that taxing capital gains as ordinary income would raise $533 billion over a decade, assuming the Bush-era reductions in rates for capital gains and stock dividends had already expired. Today, the rate reductions have expired for capital gains in the top income tax brackets (where most capital gains are taxed) but the rate reduction for stock dividends was partially extended. That means this proposal would likely raise more than was previously estimated because it would also end the remaining break for stock dividends (raising the top rate for stock dividends from 20 percent to 39.6 percent.) See CTJ, “Policy Options to Raise Revenue” (March 8, 2012),</w:t>
      </w:r>
      <w:r w:rsidRPr="005E7B77">
        <w:rPr>
          <w:rStyle w:val="apple-converted-space"/>
          <w:rFonts w:asciiTheme="minorHAnsi" w:hAnsiTheme="minorHAnsi" w:cstheme="minorHAnsi"/>
          <w:color w:val="222222"/>
          <w:shd w:val="clear" w:color="auto" w:fill="FFFFFF"/>
        </w:rPr>
        <w:t xml:space="preserve"> pp. 5-7, </w:t>
      </w:r>
      <w:hyperlink r:id="rId22" w:tgtFrame="_blank" w:history="1">
        <w:r w:rsidRPr="005E7B77">
          <w:rPr>
            <w:rStyle w:val="Hyperlink"/>
            <w:rFonts w:asciiTheme="minorHAnsi" w:hAnsiTheme="minorHAnsi" w:cstheme="minorHAnsi"/>
            <w:color w:val="1155CC"/>
            <w:shd w:val="clear" w:color="auto" w:fill="FFFFFF"/>
          </w:rPr>
          <w:t>http://ctj.org/pdf/revenueraisers2012.pdf</w:t>
        </w:r>
      </w:hyperlink>
      <w:r w:rsidRPr="005E7B77">
        <w:rPr>
          <w:rFonts w:asciiTheme="minorHAnsi" w:hAnsiTheme="minorHAnsi" w:cstheme="minorHAnsi"/>
        </w:rPr>
        <w:t>.</w:t>
      </w:r>
    </w:p>
  </w:endnote>
  <w:endnote w:id="32">
    <w:tbl>
      <w:tblPr>
        <w:tblW w:w="15839" w:type="dxa"/>
        <w:tblBorders>
          <w:top w:val="nil"/>
          <w:left w:val="nil"/>
          <w:bottom w:val="nil"/>
          <w:right w:val="nil"/>
        </w:tblBorders>
        <w:tblLayout w:type="fixed"/>
        <w:tblLook w:val="0000" w:firstRow="0" w:lastRow="0" w:firstColumn="0" w:lastColumn="0" w:noHBand="0" w:noVBand="0"/>
      </w:tblPr>
      <w:tblGrid>
        <w:gridCol w:w="15839"/>
      </w:tblGrid>
      <w:tr w:rsidR="00174D0F" w:rsidRPr="005E7B77" w:rsidTr="00A22D1D">
        <w:trPr>
          <w:trHeight w:val="125"/>
        </w:trPr>
        <w:tc>
          <w:tcPr>
            <w:tcW w:w="15839" w:type="dxa"/>
          </w:tcPr>
          <w:p w:rsidR="00071308" w:rsidRDefault="00174D0F" w:rsidP="00071308">
            <w:pPr>
              <w:pStyle w:val="Default"/>
              <w:rPr>
                <w:rFonts w:asciiTheme="minorHAnsi" w:hAnsiTheme="minorHAnsi"/>
                <w:bCs/>
                <w:sz w:val="20"/>
                <w:szCs w:val="20"/>
              </w:rPr>
            </w:pPr>
            <w:r w:rsidRPr="005E7B77">
              <w:rPr>
                <w:rStyle w:val="EndnoteReference"/>
                <w:rFonts w:asciiTheme="minorHAnsi" w:hAnsiTheme="minorHAnsi"/>
                <w:sz w:val="20"/>
                <w:szCs w:val="20"/>
              </w:rPr>
              <w:endnoteRef/>
            </w:r>
            <w:r w:rsidRPr="005E7B77">
              <w:rPr>
                <w:rFonts w:asciiTheme="minorHAnsi" w:hAnsiTheme="minorHAnsi"/>
                <w:sz w:val="20"/>
                <w:szCs w:val="20"/>
              </w:rPr>
              <w:t xml:space="preserve"> NWLC calculations from </w:t>
            </w:r>
            <w:r w:rsidR="00071308">
              <w:rPr>
                <w:rFonts w:asciiTheme="minorHAnsi" w:hAnsiTheme="minorHAnsi"/>
                <w:sz w:val="20"/>
                <w:szCs w:val="20"/>
              </w:rPr>
              <w:t>TPC</w:t>
            </w:r>
            <w:r w:rsidRPr="005E7B77">
              <w:rPr>
                <w:rFonts w:asciiTheme="minorHAnsi" w:hAnsiTheme="minorHAnsi"/>
                <w:sz w:val="20"/>
                <w:szCs w:val="20"/>
              </w:rPr>
              <w:t>, “</w:t>
            </w:r>
            <w:r w:rsidRPr="005E7B77">
              <w:rPr>
                <w:rFonts w:asciiTheme="minorHAnsi" w:hAnsiTheme="minorHAnsi"/>
                <w:bCs/>
                <w:sz w:val="20"/>
                <w:szCs w:val="20"/>
              </w:rPr>
              <w:t>Est</w:t>
            </w:r>
            <w:r w:rsidR="00071308">
              <w:rPr>
                <w:rFonts w:asciiTheme="minorHAnsi" w:hAnsiTheme="minorHAnsi"/>
                <w:bCs/>
                <w:sz w:val="20"/>
                <w:szCs w:val="20"/>
              </w:rPr>
              <w:t xml:space="preserve">ate Tax Returns and Liability </w:t>
            </w:r>
            <w:r w:rsidRPr="005E7B77">
              <w:rPr>
                <w:rFonts w:asciiTheme="minorHAnsi" w:hAnsiTheme="minorHAnsi"/>
                <w:bCs/>
                <w:sz w:val="20"/>
                <w:szCs w:val="20"/>
              </w:rPr>
              <w:t xml:space="preserve">Under Current Law and Various Reform Proposals, </w:t>
            </w:r>
          </w:p>
          <w:p w:rsidR="00174D0F" w:rsidRPr="005E7B77" w:rsidRDefault="00174D0F" w:rsidP="00071308">
            <w:pPr>
              <w:pStyle w:val="Default"/>
              <w:rPr>
                <w:rFonts w:asciiTheme="minorHAnsi" w:hAnsiTheme="minorHAnsi"/>
                <w:bCs/>
                <w:sz w:val="20"/>
                <w:szCs w:val="20"/>
              </w:rPr>
            </w:pPr>
            <w:r w:rsidRPr="005E7B77">
              <w:rPr>
                <w:rFonts w:asciiTheme="minorHAnsi" w:hAnsiTheme="minorHAnsi"/>
                <w:bCs/>
                <w:sz w:val="20"/>
                <w:szCs w:val="20"/>
              </w:rPr>
              <w:t>2011-2021” (Table T13-0019) (Jan. 9, 2013),</w:t>
            </w:r>
            <w:r w:rsidR="00071308">
              <w:rPr>
                <w:rFonts w:asciiTheme="minorHAnsi" w:hAnsiTheme="minorHAnsi"/>
                <w:bCs/>
                <w:sz w:val="20"/>
                <w:szCs w:val="20"/>
              </w:rPr>
              <w:t xml:space="preserve"> </w:t>
            </w:r>
          </w:p>
        </w:tc>
      </w:tr>
    </w:tbl>
    <w:p w:rsidR="00174D0F" w:rsidRPr="005E7B77" w:rsidRDefault="0058300F" w:rsidP="00071308">
      <w:pPr>
        <w:pStyle w:val="EndnoteText"/>
        <w:rPr>
          <w:rFonts w:asciiTheme="minorHAnsi" w:hAnsiTheme="minorHAnsi"/>
        </w:rPr>
      </w:pPr>
      <w:hyperlink r:id="rId23" w:history="1">
        <w:r w:rsidR="00174D0F" w:rsidRPr="005E7B77">
          <w:rPr>
            <w:rStyle w:val="Hyperlink"/>
            <w:rFonts w:asciiTheme="minorHAnsi" w:hAnsiTheme="minorHAnsi"/>
          </w:rPr>
          <w:t>http://www.taxpolicycenter.org/numbers/Content/PDF/T13-0019.pdf</w:t>
        </w:r>
      </w:hyperlink>
    </w:p>
  </w:endnote>
  <w:endnote w:id="33">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Compare JCT, “Estimated Revenue Effects of an Amendment to the Senate Amendment to H.J. Res. 66” (JCX-78-12) (Dec. 19, 2012) p. 3, </w:t>
      </w:r>
      <w:hyperlink r:id="rId24" w:history="1">
        <w:r w:rsidRPr="005E7B77">
          <w:rPr>
            <w:rStyle w:val="Hyperlink"/>
            <w:rFonts w:asciiTheme="minorHAnsi" w:hAnsiTheme="minorHAnsi"/>
          </w:rPr>
          <w:t>https://www.jct.gov/publications.html?func=startdown&amp;id=4496</w:t>
        </w:r>
      </w:hyperlink>
      <w:r w:rsidRPr="005E7B77">
        <w:rPr>
          <w:rFonts w:asciiTheme="minorHAnsi" w:hAnsiTheme="minorHAnsi"/>
        </w:rPr>
        <w:t xml:space="preserve">, with JCT, “Estimated Revenue Effects of the Revenue Provisions Contained in an Amendment in the Nature of a Substitute to H.R. 8, the ‘American Taxpayer Relief Act of 2012,’ as passed by the Senate on January 1, 2013” (JCX-1-13) (Jan. 1, 2013), </w:t>
      </w:r>
      <w:hyperlink r:id="rId25" w:history="1">
        <w:r w:rsidRPr="005E7B77">
          <w:rPr>
            <w:rStyle w:val="Hyperlink"/>
            <w:rFonts w:asciiTheme="minorHAnsi" w:hAnsiTheme="minorHAnsi"/>
          </w:rPr>
          <w:t>https://www.jct.gov/publications.html?func=startdown&amp;id=4497</w:t>
        </w:r>
      </w:hyperlink>
      <w:r w:rsidRPr="005E7B77">
        <w:rPr>
          <w:rFonts w:asciiTheme="minorHAnsi" w:hAnsiTheme="minorHAnsi"/>
        </w:rPr>
        <w:t>.</w:t>
      </w:r>
    </w:p>
  </w:endnote>
  <w:endnote w:id="34">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NWLC calculations from TPC Table T13-0019, </w:t>
      </w:r>
      <w:r w:rsidRPr="005E7B77">
        <w:rPr>
          <w:rFonts w:asciiTheme="minorHAnsi" w:hAnsiTheme="minorHAnsi"/>
          <w:i/>
        </w:rPr>
        <w:t>supra</w:t>
      </w:r>
      <w:r w:rsidRPr="005E7B77">
        <w:rPr>
          <w:rFonts w:asciiTheme="minorHAnsi" w:hAnsiTheme="minorHAnsi"/>
        </w:rPr>
        <w:t xml:space="preserve"> note 3</w:t>
      </w:r>
      <w:r w:rsidR="00071308">
        <w:rPr>
          <w:rFonts w:asciiTheme="minorHAnsi" w:hAnsiTheme="minorHAnsi"/>
        </w:rPr>
        <w:t>2</w:t>
      </w:r>
      <w:r w:rsidRPr="005E7B77">
        <w:rPr>
          <w:rFonts w:asciiTheme="minorHAnsi" w:hAnsiTheme="minorHAnsi"/>
        </w:rPr>
        <w:t>.</w:t>
      </w:r>
    </w:p>
  </w:endnote>
  <w:endnote w:id="35">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NWLC calculations comparing JCT, “Modeling the Federal Revenue Effects of Changes in Estate and Gift Taxation” (JCX-76-12) (November 9, 2012), p. 12 (adding estimates for FY 2013-2022), </w:t>
      </w:r>
      <w:hyperlink r:id="rId26" w:history="1">
        <w:r w:rsidRPr="005E7B77">
          <w:rPr>
            <w:rStyle w:val="Hyperlink"/>
            <w:rFonts w:asciiTheme="minorHAnsi" w:hAnsiTheme="minorHAnsi"/>
          </w:rPr>
          <w:t>https://www.jct.gov/publications.html?func=startdown&amp;id=4492</w:t>
        </w:r>
      </w:hyperlink>
      <w:r w:rsidRPr="005E7B77">
        <w:rPr>
          <w:rFonts w:asciiTheme="minorHAnsi" w:hAnsiTheme="minorHAnsi"/>
        </w:rPr>
        <w:t xml:space="preserve">, with JCX-1-13, </w:t>
      </w:r>
      <w:r w:rsidRPr="005E7B77">
        <w:rPr>
          <w:rFonts w:asciiTheme="minorHAnsi" w:hAnsiTheme="minorHAnsi"/>
          <w:i/>
        </w:rPr>
        <w:t xml:space="preserve">supra </w:t>
      </w:r>
      <w:r w:rsidRPr="005E7B77">
        <w:rPr>
          <w:rFonts w:asciiTheme="minorHAnsi" w:hAnsiTheme="minorHAnsi"/>
        </w:rPr>
        <w:t>note</w:t>
      </w:r>
      <w:r w:rsidRPr="005E7B77">
        <w:rPr>
          <w:rFonts w:asciiTheme="minorHAnsi" w:hAnsiTheme="minorHAnsi"/>
          <w:i/>
        </w:rPr>
        <w:t xml:space="preserve"> </w:t>
      </w:r>
      <w:r w:rsidRPr="005E7B77">
        <w:rPr>
          <w:rFonts w:asciiTheme="minorHAnsi" w:hAnsiTheme="minorHAnsi"/>
        </w:rPr>
        <w:t>3</w:t>
      </w:r>
      <w:r w:rsidR="00071308">
        <w:rPr>
          <w:rFonts w:asciiTheme="minorHAnsi" w:hAnsiTheme="minorHAnsi"/>
        </w:rPr>
        <w:t>3</w:t>
      </w:r>
      <w:r w:rsidRPr="005E7B77">
        <w:rPr>
          <w:rFonts w:asciiTheme="minorHAnsi" w:hAnsiTheme="minorHAnsi"/>
        </w:rPr>
        <w:t xml:space="preserve">.   </w:t>
      </w:r>
    </w:p>
  </w:endnote>
  <w:endnote w:id="36">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With an exemption of $2 million per couple, $1 million per individual, 1.7 percent of estates would owe estate tax in 2013.  NWLC calculations from TPC Table T13-0019, </w:t>
      </w:r>
      <w:r w:rsidRPr="005E7B77">
        <w:rPr>
          <w:rFonts w:asciiTheme="minorHAnsi" w:hAnsiTheme="minorHAnsi"/>
          <w:i/>
        </w:rPr>
        <w:t>supra</w:t>
      </w:r>
      <w:r w:rsidRPr="005E7B77">
        <w:rPr>
          <w:rFonts w:asciiTheme="minorHAnsi" w:hAnsiTheme="minorHAnsi"/>
        </w:rPr>
        <w:t xml:space="preserve"> note 3</w:t>
      </w:r>
      <w:r w:rsidR="00071308">
        <w:rPr>
          <w:rFonts w:asciiTheme="minorHAnsi" w:hAnsiTheme="minorHAnsi"/>
        </w:rPr>
        <w:t>2</w:t>
      </w:r>
      <w:r w:rsidRPr="005E7B77">
        <w:rPr>
          <w:rFonts w:asciiTheme="minorHAnsi" w:hAnsiTheme="minorHAnsi"/>
        </w:rPr>
        <w:t xml:space="preserve">.  With an exemption of $2.6 million per couple, even fewer estates would be taxed.  </w:t>
      </w:r>
    </w:p>
  </w:endnote>
  <w:endnote w:id="37">
    <w:p w:rsidR="00174D0F" w:rsidRPr="005E7B77" w:rsidRDefault="00174D0F" w:rsidP="00B572B4">
      <w:pPr>
        <w:pStyle w:val="EndnoteText"/>
        <w:rPr>
          <w:rFonts w:asciiTheme="minorHAnsi" w:hAnsiTheme="minorHAnsi" w:cs="Calibri"/>
        </w:rPr>
      </w:pPr>
      <w:r w:rsidRPr="005E7B77">
        <w:rPr>
          <w:rStyle w:val="EndnoteReference"/>
          <w:rFonts w:asciiTheme="minorHAnsi" w:hAnsiTheme="minorHAnsi" w:cs="Calibri"/>
        </w:rPr>
        <w:endnoteRef/>
      </w:r>
      <w:r w:rsidRPr="005E7B77">
        <w:rPr>
          <w:rFonts w:asciiTheme="minorHAnsi" w:hAnsiTheme="minorHAnsi" w:cs="Calibri"/>
        </w:rPr>
        <w:t xml:space="preserve"> NWLC calculations from revenue estimates for H.R. 3467 by JCT in Letter from Thomas </w:t>
      </w:r>
      <w:proofErr w:type="spellStart"/>
      <w:r w:rsidRPr="005E7B77">
        <w:rPr>
          <w:rFonts w:asciiTheme="minorHAnsi" w:hAnsiTheme="minorHAnsi" w:cs="Calibri"/>
        </w:rPr>
        <w:t>Barthold</w:t>
      </w:r>
      <w:proofErr w:type="spellEnd"/>
      <w:r w:rsidRPr="005E7B77">
        <w:rPr>
          <w:rFonts w:asciiTheme="minorHAnsi" w:hAnsiTheme="minorHAnsi" w:cs="Calibri"/>
        </w:rPr>
        <w:t xml:space="preserve">, Chief of Staff, JCT, to Representative James McDermott (March 27, 2012) (on file with NWLC). </w:t>
      </w:r>
    </w:p>
  </w:endnote>
  <w:endnote w:id="38">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For further explanation see Seth Hanlon &amp; Sarah Ayres, “Loopholes in the Estate Tax Show Why Revenue Must Be on the Table,” Center for American Progress (Jan. 24, 2013), </w:t>
      </w:r>
      <w:hyperlink r:id="rId27" w:history="1">
        <w:r w:rsidRPr="005E7B77">
          <w:rPr>
            <w:rStyle w:val="Hyperlink"/>
            <w:rFonts w:asciiTheme="minorHAnsi" w:hAnsiTheme="minorHAnsi"/>
          </w:rPr>
          <w:t>http://www.americanprogress.org/issues/tax-reform/news/2013/01/24/50457/loopholes-in-the-estate-tax-show-why-revenue-must-be-on-the-table/</w:t>
        </w:r>
      </w:hyperlink>
      <w:r w:rsidRPr="005E7B77">
        <w:rPr>
          <w:rFonts w:asciiTheme="minorHAnsi" w:hAnsiTheme="minorHAnsi"/>
        </w:rPr>
        <w:t>.</w:t>
      </w:r>
    </w:p>
  </w:endnote>
  <w:endnote w:id="39">
    <w:p w:rsidR="00174D0F" w:rsidRPr="005E7B77" w:rsidRDefault="00174D0F" w:rsidP="00B572B4">
      <w:pPr>
        <w:pStyle w:val="EndnoteText"/>
        <w:rPr>
          <w:rFonts w:asciiTheme="minorHAnsi" w:hAnsiTheme="minorHAnsi" w:cs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cstheme="minorHAnsi"/>
          <w:color w:val="222222"/>
          <w:shd w:val="clear" w:color="auto" w:fill="FFFFFF"/>
        </w:rPr>
        <w:t>Department of the Treasury, General Explanations of the Administration’s Fiscal Year 2013 Revenue Proposals, (Feb. 2012), p. 203,</w:t>
      </w:r>
      <w:r w:rsidRPr="005E7B77">
        <w:rPr>
          <w:rStyle w:val="apple-converted-space"/>
          <w:rFonts w:asciiTheme="minorHAnsi" w:hAnsiTheme="minorHAnsi" w:cstheme="minorHAnsi"/>
          <w:color w:val="222222"/>
          <w:shd w:val="clear" w:color="auto" w:fill="FFFFFF"/>
        </w:rPr>
        <w:t> </w:t>
      </w:r>
      <w:hyperlink r:id="rId28" w:tgtFrame="_blank" w:history="1">
        <w:r w:rsidRPr="005E7B77">
          <w:rPr>
            <w:rStyle w:val="Hyperlink"/>
            <w:rFonts w:asciiTheme="minorHAnsi" w:hAnsiTheme="minorHAnsi" w:cstheme="minorHAnsi"/>
            <w:color w:val="1155CC"/>
            <w:shd w:val="clear" w:color="auto" w:fill="FFFFFF"/>
          </w:rPr>
          <w:t>http://www.treasury.gov/resource-center/tax-policy/Documents/General-Explanations-FY2013.pdf</w:t>
        </w:r>
      </w:hyperlink>
      <w:r w:rsidRPr="005E7B77">
        <w:rPr>
          <w:rFonts w:asciiTheme="minorHAnsi" w:hAnsiTheme="minorHAnsi" w:cstheme="minorHAnsi"/>
          <w:color w:val="222222"/>
          <w:shd w:val="clear" w:color="auto" w:fill="FFFFFF"/>
        </w:rPr>
        <w:t>.</w:t>
      </w:r>
      <w:proofErr w:type="gramEnd"/>
    </w:p>
  </w:endnote>
  <w:endnote w:id="40">
    <w:p w:rsidR="00174D0F" w:rsidRPr="005E7B77" w:rsidRDefault="00174D0F" w:rsidP="00B572B4">
      <w:pPr>
        <w:autoSpaceDE w:val="0"/>
        <w:autoSpaceDN w:val="0"/>
        <w:adjustRightInd w:val="0"/>
        <w:spacing w:after="0" w:line="240" w:lineRule="auto"/>
        <w:rPr>
          <w:rFonts w:cs="Amerigo"/>
          <w:color w:val="000000"/>
          <w:sz w:val="20"/>
          <w:szCs w:val="20"/>
        </w:rPr>
      </w:pPr>
      <w:r w:rsidRPr="005E7B77">
        <w:rPr>
          <w:rStyle w:val="EndnoteReference"/>
          <w:sz w:val="20"/>
          <w:szCs w:val="20"/>
        </w:rPr>
        <w:endnoteRef/>
      </w:r>
      <w:r w:rsidRPr="005E7B77">
        <w:rPr>
          <w:sz w:val="20"/>
          <w:szCs w:val="20"/>
        </w:rPr>
        <w:t xml:space="preserve"> </w:t>
      </w:r>
      <w:r w:rsidRPr="005E7B77">
        <w:rPr>
          <w:rFonts w:cs="Amerigo"/>
          <w:color w:val="000000"/>
          <w:sz w:val="20"/>
          <w:szCs w:val="20"/>
        </w:rPr>
        <w:t>CBO, “Reducing the Deficit: Spending and Revenue Options,” (March 2011), p. 155,</w:t>
      </w:r>
    </w:p>
    <w:p w:rsidR="00174D0F" w:rsidRPr="00071308" w:rsidRDefault="0058300F" w:rsidP="00B572B4">
      <w:pPr>
        <w:pStyle w:val="EndnoteText"/>
        <w:rPr>
          <w:rFonts w:asciiTheme="minorHAnsi" w:hAnsiTheme="minorHAnsi"/>
        </w:rPr>
      </w:pPr>
      <w:hyperlink r:id="rId29" w:history="1">
        <w:r w:rsidR="00174D0F" w:rsidRPr="005E7B77">
          <w:rPr>
            <w:rStyle w:val="Hyperlink"/>
            <w:rFonts w:asciiTheme="minorHAnsi" w:hAnsiTheme="minorHAnsi" w:cs="Amerigo"/>
          </w:rPr>
          <w:t>http://www.cbo.gov/sites/default/files/cbofiles/ftpdocs/120xx/doc12085/03-10-reducingthedeficit.pdf</w:t>
        </w:r>
      </w:hyperlink>
      <w:r w:rsidR="00071308">
        <w:rPr>
          <w:rStyle w:val="Hyperlink"/>
          <w:rFonts w:asciiTheme="minorHAnsi" w:hAnsiTheme="minorHAnsi" w:cs="Amerigo"/>
          <w:u w:val="none"/>
        </w:rPr>
        <w:t>.</w:t>
      </w:r>
    </w:p>
  </w:endnote>
  <w:endnote w:id="41">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Mark </w:t>
      </w:r>
      <w:proofErr w:type="spellStart"/>
      <w:r w:rsidRPr="005E7B77">
        <w:rPr>
          <w:rFonts w:asciiTheme="minorHAnsi" w:hAnsiTheme="minorHAnsi"/>
        </w:rPr>
        <w:t>Maremont</w:t>
      </w:r>
      <w:proofErr w:type="spellEnd"/>
      <w:r w:rsidRPr="005E7B77">
        <w:rPr>
          <w:rFonts w:asciiTheme="minorHAnsi" w:hAnsiTheme="minorHAnsi"/>
        </w:rPr>
        <w:t xml:space="preserve"> and Leslie </w:t>
      </w:r>
      <w:proofErr w:type="spellStart"/>
      <w:r w:rsidRPr="005E7B77">
        <w:rPr>
          <w:rFonts w:asciiTheme="minorHAnsi" w:hAnsiTheme="minorHAnsi"/>
        </w:rPr>
        <w:t>Scism</w:t>
      </w:r>
      <w:proofErr w:type="spellEnd"/>
      <w:r w:rsidRPr="005E7B77">
        <w:rPr>
          <w:rFonts w:asciiTheme="minorHAnsi" w:hAnsiTheme="minorHAnsi"/>
        </w:rPr>
        <w:t xml:space="preserve">, “Shift to Wealthier Clientele Puts Life Insurers in a Bind,” </w:t>
      </w:r>
      <w:r w:rsidRPr="005E7B77">
        <w:rPr>
          <w:rFonts w:asciiTheme="minorHAnsi" w:hAnsiTheme="minorHAnsi"/>
          <w:i/>
        </w:rPr>
        <w:t>Wall Street Journal</w:t>
      </w:r>
      <w:r w:rsidRPr="005E7B77">
        <w:rPr>
          <w:rFonts w:asciiTheme="minorHAnsi" w:hAnsiTheme="minorHAnsi"/>
        </w:rPr>
        <w:t xml:space="preserve">, </w:t>
      </w:r>
    </w:p>
    <w:p w:rsidR="00174D0F" w:rsidRPr="005E7B77" w:rsidRDefault="00174D0F" w:rsidP="00B572B4">
      <w:pPr>
        <w:pStyle w:val="EndnoteText"/>
        <w:rPr>
          <w:rFonts w:asciiTheme="minorHAnsi" w:hAnsiTheme="minorHAnsi"/>
        </w:rPr>
      </w:pPr>
      <w:r w:rsidRPr="005E7B77">
        <w:rPr>
          <w:rFonts w:asciiTheme="minorHAnsi" w:hAnsiTheme="minorHAnsi"/>
        </w:rPr>
        <w:t xml:space="preserve">(Oct. 3, 2010). </w:t>
      </w:r>
      <w:hyperlink r:id="rId30" w:history="1">
        <w:r w:rsidRPr="005E7B77">
          <w:rPr>
            <w:rStyle w:val="Hyperlink"/>
            <w:rFonts w:asciiTheme="minorHAnsi" w:hAnsiTheme="minorHAnsi"/>
          </w:rPr>
          <w:t>http://online.wsj.com/article/SB10001424052748703435104575421411449555240.html</w:t>
        </w:r>
      </w:hyperlink>
      <w:r w:rsidRPr="005E7B77">
        <w:rPr>
          <w:rFonts w:asciiTheme="minorHAnsi" w:hAnsiTheme="minorHAnsi"/>
        </w:rPr>
        <w:t xml:space="preserve">.  </w:t>
      </w:r>
    </w:p>
  </w:endnote>
  <w:endnote w:id="42">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TPC </w:t>
      </w:r>
      <w:r w:rsidR="00071308">
        <w:rPr>
          <w:rFonts w:asciiTheme="minorHAnsi" w:hAnsiTheme="minorHAnsi"/>
        </w:rPr>
        <w:t>(</w:t>
      </w:r>
      <w:r w:rsidRPr="005E7B77">
        <w:rPr>
          <w:rFonts w:asciiTheme="minorHAnsi" w:hAnsiTheme="minorHAnsi"/>
        </w:rPr>
        <w:t>Table T10-0247</w:t>
      </w:r>
      <w:r w:rsidR="00071308">
        <w:rPr>
          <w:rFonts w:asciiTheme="minorHAnsi" w:hAnsiTheme="minorHAnsi"/>
        </w:rPr>
        <w:t>)</w:t>
      </w:r>
      <w:r w:rsidRPr="005E7B77">
        <w:rPr>
          <w:rFonts w:asciiTheme="minorHAnsi" w:hAnsiTheme="minorHAnsi"/>
        </w:rPr>
        <w:t xml:space="preserve">, </w:t>
      </w:r>
      <w:r w:rsidRPr="005E7B77">
        <w:rPr>
          <w:rFonts w:asciiTheme="minorHAnsi" w:hAnsiTheme="minorHAnsi"/>
          <w:i/>
        </w:rPr>
        <w:t>supra</w:t>
      </w:r>
      <w:r w:rsidRPr="005E7B77">
        <w:rPr>
          <w:rFonts w:asciiTheme="minorHAnsi" w:hAnsiTheme="minorHAnsi"/>
        </w:rPr>
        <w:t xml:space="preserve"> note 2</w:t>
      </w:r>
      <w:r w:rsidR="00071308">
        <w:rPr>
          <w:rFonts w:asciiTheme="minorHAnsi" w:hAnsiTheme="minorHAnsi"/>
        </w:rPr>
        <w:t>6</w:t>
      </w:r>
      <w:r w:rsidRPr="005E7B77">
        <w:rPr>
          <w:rFonts w:asciiTheme="minorHAnsi" w:hAnsiTheme="minorHAnsi"/>
        </w:rPr>
        <w:t>.</w:t>
      </w:r>
    </w:p>
  </w:endnote>
  <w:endnote w:id="43">
    <w:p w:rsidR="00174D0F" w:rsidRPr="00071308"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See Mark </w:t>
      </w:r>
      <w:proofErr w:type="spellStart"/>
      <w:r w:rsidRPr="005E7B77">
        <w:rPr>
          <w:rFonts w:asciiTheme="minorHAnsi" w:hAnsiTheme="minorHAnsi"/>
        </w:rPr>
        <w:t>Maremont</w:t>
      </w:r>
      <w:proofErr w:type="spellEnd"/>
      <w:r w:rsidRPr="005E7B77">
        <w:rPr>
          <w:rFonts w:asciiTheme="minorHAnsi" w:hAnsiTheme="minorHAnsi"/>
        </w:rPr>
        <w:t xml:space="preserve">, “Bain Gave Staff Way to Swell IRAs by Investing in Deals,” </w:t>
      </w:r>
      <w:r w:rsidRPr="005E7B77">
        <w:rPr>
          <w:rFonts w:asciiTheme="minorHAnsi" w:hAnsiTheme="minorHAnsi"/>
          <w:i/>
        </w:rPr>
        <w:t>Wall Street Journal</w:t>
      </w:r>
      <w:r w:rsidRPr="005E7B77">
        <w:rPr>
          <w:rFonts w:asciiTheme="minorHAnsi" w:hAnsiTheme="minorHAnsi"/>
        </w:rPr>
        <w:t xml:space="preserve"> (March 29, 2012), </w:t>
      </w:r>
      <w:hyperlink r:id="rId31" w:history="1">
        <w:r w:rsidRPr="005E7B77">
          <w:rPr>
            <w:rStyle w:val="Hyperlink"/>
            <w:rFonts w:asciiTheme="minorHAnsi" w:hAnsiTheme="minorHAnsi"/>
          </w:rPr>
          <w:t>http://professional.wsj.com/article/SB10001424052970204062704577223682180407266.html?mg=reno64-wsj</w:t>
        </w:r>
      </w:hyperlink>
      <w:r w:rsidR="00071308">
        <w:rPr>
          <w:rStyle w:val="Hyperlink"/>
          <w:rFonts w:asciiTheme="minorHAnsi" w:hAnsiTheme="minorHAnsi"/>
          <w:u w:val="none"/>
        </w:rPr>
        <w:t>.</w:t>
      </w:r>
    </w:p>
  </w:endnote>
  <w:endnote w:id="44">
    <w:p w:rsidR="00174D0F" w:rsidRPr="005E7B77" w:rsidRDefault="00174D0F" w:rsidP="00B572B4">
      <w:pPr>
        <w:autoSpaceDE w:val="0"/>
        <w:autoSpaceDN w:val="0"/>
        <w:adjustRightInd w:val="0"/>
        <w:spacing w:after="0" w:line="240" w:lineRule="auto"/>
        <w:rPr>
          <w:rFonts w:cstheme="minorHAnsi"/>
          <w:color w:val="000000"/>
          <w:sz w:val="20"/>
          <w:szCs w:val="20"/>
        </w:rPr>
      </w:pPr>
      <w:r w:rsidRPr="005E7B77">
        <w:rPr>
          <w:rStyle w:val="EndnoteReference"/>
          <w:sz w:val="20"/>
          <w:szCs w:val="20"/>
        </w:rPr>
        <w:endnoteRef/>
      </w:r>
      <w:r w:rsidRPr="005E7B77">
        <w:rPr>
          <w:sz w:val="20"/>
          <w:szCs w:val="20"/>
        </w:rPr>
        <w:t xml:space="preserve"> </w:t>
      </w:r>
      <w:r w:rsidRPr="005E7B77">
        <w:rPr>
          <w:rFonts w:cstheme="minorHAnsi"/>
          <w:color w:val="000000"/>
          <w:sz w:val="20"/>
          <w:szCs w:val="20"/>
        </w:rPr>
        <w:t xml:space="preserve">Tom Hamburger, “Mitt Romney Exited Bain with Rare Tax Benefits in Retirement,” </w:t>
      </w:r>
      <w:r w:rsidRPr="00071308">
        <w:rPr>
          <w:rFonts w:cstheme="minorHAnsi"/>
          <w:i/>
          <w:color w:val="000000"/>
          <w:sz w:val="20"/>
          <w:szCs w:val="20"/>
        </w:rPr>
        <w:t xml:space="preserve">Washington Post </w:t>
      </w:r>
      <w:r w:rsidRPr="005E7B77">
        <w:rPr>
          <w:rFonts w:cstheme="minorHAnsi"/>
          <w:color w:val="000000"/>
          <w:sz w:val="20"/>
          <w:szCs w:val="20"/>
        </w:rPr>
        <w:t>(Sept. 2,</w:t>
      </w:r>
    </w:p>
    <w:p w:rsidR="00174D0F" w:rsidRPr="005E7B77" w:rsidRDefault="00174D0F" w:rsidP="00B572B4">
      <w:pPr>
        <w:autoSpaceDE w:val="0"/>
        <w:autoSpaceDN w:val="0"/>
        <w:adjustRightInd w:val="0"/>
        <w:spacing w:after="0" w:line="240" w:lineRule="auto"/>
        <w:rPr>
          <w:rFonts w:cstheme="minorHAnsi"/>
          <w:color w:val="0000FF"/>
          <w:sz w:val="20"/>
          <w:szCs w:val="20"/>
        </w:rPr>
      </w:pPr>
      <w:proofErr w:type="gramStart"/>
      <w:r w:rsidRPr="005E7B77">
        <w:rPr>
          <w:rFonts w:cstheme="minorHAnsi"/>
          <w:color w:val="000000"/>
          <w:sz w:val="20"/>
          <w:szCs w:val="20"/>
        </w:rPr>
        <w:t xml:space="preserve">2012), </w:t>
      </w:r>
      <w:r w:rsidRPr="005E7B77">
        <w:rPr>
          <w:rFonts w:cstheme="minorHAnsi"/>
          <w:color w:val="0000FF"/>
          <w:sz w:val="20"/>
          <w:szCs w:val="20"/>
        </w:rPr>
        <w:t>http://www.washingtonpost.com/politics/mitt-romney-exited-bain-capital-with-rare-tax-benefits-inretirement/2012/09/02/1bddc8de-ec85-11e1-a80b-9f898562d010_print.html.</w:t>
      </w:r>
      <w:proofErr w:type="gramEnd"/>
    </w:p>
  </w:endnote>
  <w:endnote w:id="45">
    <w:p w:rsidR="00174D0F" w:rsidRDefault="00174D0F" w:rsidP="0077310B">
      <w:pPr>
        <w:pStyle w:val="EndnoteText"/>
      </w:pPr>
      <w:r>
        <w:rPr>
          <w:rStyle w:val="EndnoteReference"/>
        </w:rPr>
        <w:endnoteRef/>
      </w:r>
      <w:r>
        <w:t xml:space="preserve"> </w:t>
      </w:r>
      <w:proofErr w:type="gramStart"/>
      <w:r>
        <w:t xml:space="preserve">Sen. Sheldon Whitehouse, Fact Sheet, “Repeal the Sequester by Ending Tax Giveaways” (Feb. 13, 2013), </w:t>
      </w:r>
      <w:hyperlink r:id="rId32" w:history="1">
        <w:r w:rsidRPr="00C22308">
          <w:rPr>
            <w:rStyle w:val="Hyperlink"/>
          </w:rPr>
          <w:t>http://www.whitehouse.senate.gov/download/?id=4eef46c6-bc42-4a7b-93d1-ac03fce3ffc4</w:t>
        </w:r>
      </w:hyperlink>
      <w:r>
        <w:t>.</w:t>
      </w:r>
      <w:proofErr w:type="gramEnd"/>
    </w:p>
  </w:endnote>
  <w:endnote w:id="46">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David </w:t>
      </w:r>
      <w:proofErr w:type="spellStart"/>
      <w:r w:rsidRPr="005E7B77">
        <w:rPr>
          <w:rFonts w:asciiTheme="minorHAnsi" w:hAnsiTheme="minorHAnsi"/>
        </w:rPr>
        <w:t>Kocieniewski</w:t>
      </w:r>
      <w:proofErr w:type="spellEnd"/>
      <w:r w:rsidRPr="005E7B77">
        <w:rPr>
          <w:rFonts w:asciiTheme="minorHAnsi" w:hAnsiTheme="minorHAnsi"/>
        </w:rPr>
        <w:t xml:space="preserve">, “Major Companies Push the Limits of a Tax Break,” </w:t>
      </w:r>
      <w:r w:rsidRPr="005E7B77">
        <w:rPr>
          <w:rFonts w:asciiTheme="minorHAnsi" w:hAnsiTheme="minorHAnsi"/>
          <w:i/>
        </w:rPr>
        <w:t>The New York Times</w:t>
      </w:r>
      <w:r w:rsidRPr="005E7B77">
        <w:rPr>
          <w:rFonts w:asciiTheme="minorHAnsi" w:hAnsiTheme="minorHAnsi"/>
        </w:rPr>
        <w:t xml:space="preserve"> (Jan. 6, 2013), </w:t>
      </w:r>
    </w:p>
    <w:p w:rsidR="00174D0F" w:rsidRPr="005E7B77" w:rsidRDefault="00174D0F" w:rsidP="00B572B4">
      <w:pPr>
        <w:pStyle w:val="EndnoteText"/>
        <w:rPr>
          <w:rFonts w:asciiTheme="minorHAnsi" w:hAnsiTheme="minorHAnsi"/>
        </w:rPr>
      </w:pPr>
      <w:r w:rsidRPr="005E7B77">
        <w:rPr>
          <w:rFonts w:asciiTheme="minorHAnsi" w:hAnsiTheme="minorHAnsi"/>
        </w:rPr>
        <w:t xml:space="preserve"> </w:t>
      </w:r>
      <w:r w:rsidRPr="005E7B77">
        <w:rPr>
          <w:rStyle w:val="Hyperlink"/>
          <w:rFonts w:asciiTheme="minorHAnsi" w:hAnsiTheme="minorHAnsi"/>
        </w:rPr>
        <w:t>http://www.nytimes.com/2013/01/07/business/economy/companies-exploit-tax-break-for-asset-exchanges-trial-evidence-shows.html?pagewanted=all</w:t>
      </w:r>
      <w:r w:rsidRPr="005E7B77">
        <w:rPr>
          <w:rFonts w:asciiTheme="minorHAnsi" w:hAnsiTheme="minorHAnsi"/>
        </w:rPr>
        <w:t xml:space="preserve">.  </w:t>
      </w:r>
    </w:p>
  </w:endnote>
  <w:endnote w:id="47">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JCT, JCS-1-13, p. 34, </w:t>
      </w:r>
      <w:r w:rsidRPr="005E7B77">
        <w:rPr>
          <w:rFonts w:asciiTheme="minorHAnsi" w:hAnsiTheme="minorHAnsi"/>
          <w:i/>
        </w:rPr>
        <w:t xml:space="preserve">supra </w:t>
      </w:r>
      <w:r w:rsidRPr="005E7B77">
        <w:rPr>
          <w:rFonts w:asciiTheme="minorHAnsi" w:hAnsiTheme="minorHAnsi"/>
        </w:rPr>
        <w:t>note 2</w:t>
      </w:r>
      <w:r w:rsidR="00071308">
        <w:rPr>
          <w:rFonts w:asciiTheme="minorHAnsi" w:hAnsiTheme="minorHAnsi"/>
        </w:rPr>
        <w:t>4</w:t>
      </w:r>
      <w:r w:rsidRPr="005E7B77">
        <w:rPr>
          <w:rFonts w:asciiTheme="minorHAnsi" w:hAnsiTheme="minorHAnsi"/>
        </w:rPr>
        <w:t xml:space="preserve">. </w:t>
      </w:r>
      <w:r w:rsidRPr="005E7B77">
        <w:rPr>
          <w:rFonts w:asciiTheme="minorHAnsi" w:hAnsiTheme="minorHAnsi" w:cstheme="minorHAnsi"/>
          <w:color w:val="222222"/>
          <w:shd w:val="clear" w:color="auto" w:fill="FFFFFF"/>
        </w:rPr>
        <w:t>JCT estimated the revenue gain at $47.3 billion from 2013-2017, which over 10 years would be at least $94.6 billion.</w:t>
      </w:r>
      <w:r w:rsidRPr="005E7B77">
        <w:rPr>
          <w:rFonts w:asciiTheme="minorHAnsi" w:hAnsiTheme="minorHAnsi"/>
        </w:rPr>
        <w:t xml:space="preserve"> </w:t>
      </w:r>
      <w:hyperlink w:history="1"/>
    </w:p>
  </w:endnote>
  <w:endnote w:id="48">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CTJ, “Working Paper on Tax Reform Options” (Feb. 4, 2013), pp. 4-5, </w:t>
      </w:r>
      <w:r w:rsidRPr="005E7B77">
        <w:rPr>
          <w:rFonts w:asciiTheme="minorHAnsi" w:hAnsiTheme="minorHAnsi"/>
          <w:i/>
        </w:rPr>
        <w:t>supra</w:t>
      </w:r>
      <w:r w:rsidRPr="005E7B77">
        <w:rPr>
          <w:rFonts w:asciiTheme="minorHAnsi" w:hAnsiTheme="minorHAnsi"/>
        </w:rPr>
        <w:t xml:space="preserve"> note 2</w:t>
      </w:r>
      <w:r w:rsidR="00071308">
        <w:rPr>
          <w:rFonts w:asciiTheme="minorHAnsi" w:hAnsiTheme="minorHAnsi"/>
        </w:rPr>
        <w:t>1</w:t>
      </w:r>
      <w:r w:rsidRPr="005E7B77">
        <w:rPr>
          <w:rFonts w:asciiTheme="minorHAnsi" w:hAnsiTheme="minorHAnsi"/>
        </w:rPr>
        <w:t xml:space="preserve">, </w:t>
      </w:r>
      <w:hyperlink r:id="rId33" w:history="1">
        <w:r w:rsidRPr="005E7B77">
          <w:rPr>
            <w:rStyle w:val="Hyperlink"/>
            <w:rFonts w:asciiTheme="minorHAnsi" w:hAnsiTheme="minorHAnsi"/>
          </w:rPr>
          <w:t>http://ctj.org/pdf/workingpapertaxreform.pdf</w:t>
        </w:r>
      </w:hyperlink>
      <w:r w:rsidRPr="005E7B77">
        <w:rPr>
          <w:rStyle w:val="Hyperlink"/>
          <w:rFonts w:asciiTheme="minorHAnsi" w:hAnsiTheme="minorHAnsi"/>
        </w:rPr>
        <w:t>.</w:t>
      </w:r>
    </w:p>
  </w:endnote>
  <w:endnote w:id="49">
    <w:p w:rsidR="00174D0F" w:rsidRPr="00071308" w:rsidRDefault="00174D0F" w:rsidP="00B572B4">
      <w:pPr>
        <w:pStyle w:val="EndnoteText"/>
        <w:rPr>
          <w:rFonts w:asciiTheme="minorHAnsi" w:hAnsiTheme="minorHAnsi" w:cstheme="minorHAnsi"/>
          <w:color w:val="0000FF"/>
        </w:rPr>
      </w:pPr>
      <w:r w:rsidRPr="005E7B77">
        <w:rPr>
          <w:rStyle w:val="EndnoteReference"/>
          <w:rFonts w:asciiTheme="minorHAnsi" w:hAnsiTheme="minorHAnsi"/>
        </w:rPr>
        <w:endnoteRef/>
      </w:r>
      <w:r w:rsidRPr="005E7B77">
        <w:rPr>
          <w:rFonts w:asciiTheme="minorHAnsi" w:hAnsiTheme="minorHAnsi"/>
        </w:rPr>
        <w:t xml:space="preserve"> </w:t>
      </w:r>
      <w:r w:rsidRPr="005E7B77">
        <w:rPr>
          <w:rFonts w:asciiTheme="minorHAnsi" w:hAnsiTheme="minorHAnsi" w:cstheme="minorHAnsi"/>
          <w:color w:val="000000"/>
        </w:rPr>
        <w:t xml:space="preserve">JCT, (JCX-27-12), Section XIV, L, p. 11, </w:t>
      </w:r>
      <w:r w:rsidRPr="005E7B77">
        <w:rPr>
          <w:rFonts w:asciiTheme="minorHAnsi" w:hAnsiTheme="minorHAnsi" w:cstheme="minorHAnsi"/>
          <w:i/>
          <w:color w:val="000000"/>
        </w:rPr>
        <w:t xml:space="preserve">supra </w:t>
      </w:r>
      <w:r w:rsidRPr="005E7B77">
        <w:rPr>
          <w:rFonts w:asciiTheme="minorHAnsi" w:hAnsiTheme="minorHAnsi" w:cstheme="minorHAnsi"/>
          <w:color w:val="000000"/>
        </w:rPr>
        <w:t xml:space="preserve">note 13, </w:t>
      </w:r>
      <w:hyperlink r:id="rId34" w:tgtFrame="_blank" w:history="1">
        <w:r w:rsidRPr="005E7B77">
          <w:rPr>
            <w:rStyle w:val="Hyperlink"/>
            <w:rFonts w:asciiTheme="minorHAnsi" w:hAnsiTheme="minorHAnsi" w:cstheme="minorHAnsi"/>
          </w:rPr>
          <w:t>https://www.jct.gov/publications.html?func=startdown&amp;id=</w:t>
        </w:r>
        <w:r w:rsidRPr="00071308">
          <w:rPr>
            <w:rStyle w:val="Hyperlink"/>
            <w:rFonts w:asciiTheme="minorHAnsi" w:hAnsiTheme="minorHAnsi" w:cstheme="minorHAnsi"/>
            <w:u w:val="none"/>
          </w:rPr>
          <w:t>4413</w:t>
        </w:r>
      </w:hyperlink>
      <w:r w:rsidR="00071308">
        <w:rPr>
          <w:rStyle w:val="Hyperlink"/>
          <w:rFonts w:asciiTheme="minorHAnsi" w:hAnsiTheme="minorHAnsi" w:cstheme="minorHAnsi"/>
          <w:color w:val="auto"/>
          <w:u w:val="none"/>
        </w:rPr>
        <w:t xml:space="preserve">, and </w:t>
      </w:r>
      <w:r w:rsidRPr="00071308">
        <w:rPr>
          <w:rFonts w:asciiTheme="minorHAnsi" w:hAnsiTheme="minorHAnsi"/>
        </w:rPr>
        <w:t>CBO</w:t>
      </w:r>
      <w:r w:rsidRPr="005E7B77">
        <w:rPr>
          <w:rFonts w:asciiTheme="minorHAnsi" w:hAnsiTheme="minorHAnsi" w:cstheme="minorHAnsi"/>
          <w:color w:val="222222"/>
          <w:shd w:val="clear" w:color="auto" w:fill="FFFFFF"/>
        </w:rPr>
        <w:t xml:space="preserve">, Reducing the Deficit: Spending and Revenue Options (March 10, 2011), p. 157, </w:t>
      </w:r>
    </w:p>
    <w:p w:rsidR="00174D0F" w:rsidRPr="005E7B77" w:rsidRDefault="00174D0F" w:rsidP="00B572B4">
      <w:pPr>
        <w:pStyle w:val="EndnoteText"/>
        <w:rPr>
          <w:rFonts w:asciiTheme="minorHAnsi" w:hAnsiTheme="minorHAnsi"/>
        </w:rPr>
      </w:pPr>
      <w:r w:rsidRPr="005E7B77">
        <w:rPr>
          <w:rFonts w:asciiTheme="minorHAnsi" w:hAnsiTheme="minorHAnsi"/>
        </w:rPr>
        <w:t xml:space="preserve"> </w:t>
      </w:r>
      <w:r w:rsidRPr="005E7B77">
        <w:rPr>
          <w:rStyle w:val="Hyperlink"/>
          <w:rFonts w:asciiTheme="minorHAnsi" w:hAnsiTheme="minorHAnsi" w:cstheme="minorHAnsi"/>
          <w:color w:val="1155CC"/>
          <w:shd w:val="clear" w:color="auto" w:fill="FFFFFF"/>
        </w:rPr>
        <w:t>http://www.cbo.gov/sites/default/files/cbofiles/ftpdocs/120xx/doc12085/03-10-reducingthedeficit.pdf</w:t>
      </w:r>
      <w:r w:rsidRPr="005E7B77">
        <w:rPr>
          <w:rFonts w:asciiTheme="minorHAnsi" w:hAnsiTheme="minorHAnsi" w:cs="Tahoma"/>
          <w:color w:val="222222"/>
          <w:shd w:val="clear" w:color="auto" w:fill="FFFFFF"/>
        </w:rPr>
        <w:t>.</w:t>
      </w:r>
    </w:p>
  </w:endnote>
  <w:endnote w:id="50">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See Narrowing Exceptions for Withholding Taxes Act of 2013, H.R. 348, 113</w:t>
      </w:r>
      <w:r w:rsidRPr="005E7B77">
        <w:rPr>
          <w:rFonts w:asciiTheme="minorHAnsi" w:hAnsiTheme="minorHAnsi"/>
          <w:vertAlign w:val="superscript"/>
        </w:rPr>
        <w:t>th</w:t>
      </w:r>
      <w:r w:rsidRPr="005E7B77">
        <w:rPr>
          <w:rFonts w:asciiTheme="minorHAnsi" w:hAnsiTheme="minorHAnsi"/>
        </w:rPr>
        <w:t xml:space="preserve"> Congress. </w:t>
      </w:r>
      <w:proofErr w:type="gramStart"/>
      <w:r w:rsidRPr="005E7B77">
        <w:rPr>
          <w:rFonts w:asciiTheme="minorHAnsi" w:hAnsiTheme="minorHAnsi"/>
        </w:rPr>
        <w:t xml:space="preserve">(Rep. Rangel); Michael Cohn, “Lawmaker Introduces Bill to Close Newt Gingrich Medicare Tax Loophole,” </w:t>
      </w:r>
      <w:r w:rsidRPr="005E7B77">
        <w:rPr>
          <w:rFonts w:asciiTheme="minorHAnsi" w:hAnsiTheme="minorHAnsi"/>
          <w:i/>
        </w:rPr>
        <w:t>Accounting Today</w:t>
      </w:r>
      <w:r w:rsidRPr="005E7B77">
        <w:rPr>
          <w:rFonts w:asciiTheme="minorHAnsi" w:hAnsiTheme="minorHAnsi"/>
        </w:rPr>
        <w:t xml:space="preserve">, (Jan. 31, 2012), </w:t>
      </w:r>
      <w:hyperlink r:id="rId35" w:history="1">
        <w:r w:rsidRPr="005E7B77">
          <w:rPr>
            <w:rStyle w:val="Hyperlink"/>
            <w:rFonts w:asciiTheme="minorHAnsi" w:hAnsiTheme="minorHAnsi"/>
          </w:rPr>
          <w:t>http://www.accountingtoday.com/news/Lawmaker-Introduces-Bill-Close-Newt-Gingrich-Medicare-Tax-Loophole-61568-1.html</w:t>
        </w:r>
      </w:hyperlink>
      <w:r w:rsidRPr="005E7B77">
        <w:rPr>
          <w:rFonts w:asciiTheme="minorHAnsi" w:hAnsiTheme="minorHAnsi"/>
        </w:rPr>
        <w:t>.</w:t>
      </w:r>
      <w:proofErr w:type="gramEnd"/>
    </w:p>
  </w:endnote>
  <w:endnote w:id="51">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cs="Arial"/>
          <w:color w:val="222222"/>
          <w:shd w:val="clear" w:color="auto" w:fill="FFFFFF"/>
        </w:rPr>
        <w:t>Committee for a Responsible Federal Budget, “Health Care and Revenue Savings Options” (Dec. 18, 2012), p.</w:t>
      </w:r>
      <w:r w:rsidR="00071308">
        <w:rPr>
          <w:rFonts w:asciiTheme="minorHAnsi" w:hAnsiTheme="minorHAnsi" w:cs="Arial"/>
          <w:color w:val="222222"/>
          <w:shd w:val="clear" w:color="auto" w:fill="FFFFFF"/>
        </w:rPr>
        <w:t xml:space="preserve"> </w:t>
      </w:r>
      <w:r w:rsidRPr="005E7B77">
        <w:rPr>
          <w:rFonts w:asciiTheme="minorHAnsi" w:hAnsiTheme="minorHAnsi" w:cs="Arial"/>
          <w:color w:val="222222"/>
          <w:shd w:val="clear" w:color="auto" w:fill="FFFFFF"/>
        </w:rPr>
        <w:t>6, (rough estimate by CRFB staff</w:t>
      </w:r>
      <w:r w:rsidR="00071308">
        <w:rPr>
          <w:rFonts w:asciiTheme="minorHAnsi" w:hAnsiTheme="minorHAnsi" w:cs="Arial"/>
          <w:color w:val="222222"/>
          <w:shd w:val="clear" w:color="auto" w:fill="FFFFFF"/>
        </w:rPr>
        <w:t>),</w:t>
      </w:r>
      <w:r w:rsidRPr="005E7B77">
        <w:rPr>
          <w:rStyle w:val="apple-converted-space"/>
          <w:rFonts w:asciiTheme="minorHAnsi" w:hAnsiTheme="minorHAnsi" w:cs="Arial"/>
          <w:color w:val="222222"/>
          <w:shd w:val="clear" w:color="auto" w:fill="FFFFFF"/>
        </w:rPr>
        <w:t> </w:t>
      </w:r>
      <w:hyperlink r:id="rId36" w:tgtFrame="_blank" w:history="1">
        <w:r w:rsidRPr="005E7B77">
          <w:rPr>
            <w:rStyle w:val="Hyperlink"/>
            <w:rFonts w:asciiTheme="minorHAnsi" w:hAnsiTheme="minorHAnsi" w:cs="Arial"/>
            <w:color w:val="1155CC"/>
            <w:shd w:val="clear" w:color="auto" w:fill="FFFFFF"/>
          </w:rPr>
          <w:t>http://crfb.org/sites/default/files/health_and_revenue_savings_0.pdf</w:t>
        </w:r>
      </w:hyperlink>
      <w:r w:rsidRPr="005E7B77">
        <w:rPr>
          <w:rStyle w:val="Hyperlink"/>
          <w:rFonts w:asciiTheme="minorHAnsi" w:hAnsiTheme="minorHAnsi" w:cs="Arial"/>
          <w:color w:val="1155CC"/>
          <w:shd w:val="clear" w:color="auto" w:fill="FFFFFF"/>
        </w:rPr>
        <w:t>.</w:t>
      </w:r>
      <w:proofErr w:type="gramEnd"/>
    </w:p>
  </w:endnote>
  <w:endnote w:id="52">
    <w:p w:rsidR="00174D0F" w:rsidRPr="00071308"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See </w:t>
      </w:r>
      <w:r w:rsidRPr="005E7B77">
        <w:rPr>
          <w:rFonts w:asciiTheme="minorHAnsi" w:hAnsiTheme="minorHAnsi" w:cstheme="minorHAnsi"/>
        </w:rPr>
        <w:t xml:space="preserve">The National Commission on Fiscal Responsibility and Reform, “The Moment of Truth” (December 2010), p. 31 </w:t>
      </w:r>
      <w:hyperlink r:id="rId37" w:tgtFrame="_blank" w:history="1">
        <w:r w:rsidRPr="005E7B77">
          <w:rPr>
            <w:rStyle w:val="Hyperlink"/>
            <w:rFonts w:asciiTheme="minorHAnsi" w:hAnsiTheme="minorHAnsi" w:cstheme="minorHAnsi"/>
            <w:color w:val="1155CC"/>
            <w:shd w:val="clear" w:color="auto" w:fill="FFFFFF"/>
          </w:rPr>
          <w:t>http://www.fiscalcommission.gov/sites/fiscalcommission.gov/files/documents/TheMomentofTruth12_1_2010.pdf</w:t>
        </w:r>
      </w:hyperlink>
    </w:p>
  </w:endnote>
  <w:endnote w:id="53">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Warren E. Buffett, “Stop Coddling the Super-Rich,” </w:t>
      </w:r>
      <w:r w:rsidRPr="005E7B77">
        <w:rPr>
          <w:rFonts w:asciiTheme="minorHAnsi" w:hAnsiTheme="minorHAnsi"/>
          <w:i/>
        </w:rPr>
        <w:t>The New York Times</w:t>
      </w:r>
      <w:r w:rsidRPr="005E7B77">
        <w:rPr>
          <w:rFonts w:asciiTheme="minorHAnsi" w:hAnsiTheme="minorHAnsi"/>
        </w:rPr>
        <w:t xml:space="preserve"> (Aug. 14, 2011), </w:t>
      </w:r>
      <w:hyperlink r:id="rId38" w:history="1">
        <w:r w:rsidRPr="005E7B77">
          <w:rPr>
            <w:rStyle w:val="Hyperlink"/>
            <w:rFonts w:asciiTheme="minorHAnsi" w:hAnsiTheme="minorHAnsi"/>
          </w:rPr>
          <w:t>http://www.nytimes.com/2011/08/15/opinion/stop-coddling-the-super-rich.html?_r=0</w:t>
        </w:r>
      </w:hyperlink>
      <w:r w:rsidRPr="005E7B77">
        <w:rPr>
          <w:rFonts w:asciiTheme="minorHAnsi" w:hAnsiTheme="minorHAnsi"/>
        </w:rPr>
        <w:t xml:space="preserve"> </w:t>
      </w:r>
    </w:p>
  </w:endnote>
  <w:endnote w:id="54">
    <w:p w:rsidR="00174D0F" w:rsidRPr="005E7B77" w:rsidRDefault="00174D0F" w:rsidP="00B572B4">
      <w:pPr>
        <w:pStyle w:val="EndnoteText"/>
        <w:rPr>
          <w:rFonts w:asciiTheme="minorHAnsi" w:hAnsiTheme="minorHAnsi" w:cstheme="minorHAnsi"/>
          <w:color w:val="000000"/>
        </w:rPr>
      </w:pPr>
      <w:r w:rsidRPr="005E7B77">
        <w:rPr>
          <w:rStyle w:val="EndnoteReference"/>
          <w:rFonts w:asciiTheme="minorHAnsi" w:hAnsiTheme="minorHAnsi"/>
        </w:rPr>
        <w:endnoteRef/>
      </w:r>
      <w:r w:rsidRPr="005E7B77">
        <w:rPr>
          <w:rFonts w:asciiTheme="minorHAnsi" w:hAnsiTheme="minorHAnsi"/>
        </w:rPr>
        <w:t xml:space="preserve"> </w:t>
      </w:r>
      <w:r w:rsidRPr="005E7B77">
        <w:rPr>
          <w:rFonts w:asciiTheme="minorHAnsi" w:hAnsiTheme="minorHAnsi" w:cstheme="minorHAnsi"/>
          <w:color w:val="000000"/>
        </w:rPr>
        <w:t xml:space="preserve">JCT, (JCX-27-12) Section XII, C, p. 10, </w:t>
      </w:r>
      <w:r w:rsidRPr="005E7B77">
        <w:rPr>
          <w:rFonts w:asciiTheme="minorHAnsi" w:hAnsiTheme="minorHAnsi" w:cstheme="minorHAnsi"/>
          <w:i/>
          <w:color w:val="000000"/>
        </w:rPr>
        <w:t xml:space="preserve">supra </w:t>
      </w:r>
      <w:r w:rsidRPr="005E7B77">
        <w:rPr>
          <w:rFonts w:asciiTheme="minorHAnsi" w:hAnsiTheme="minorHAnsi" w:cstheme="minorHAnsi"/>
          <w:color w:val="000000"/>
        </w:rPr>
        <w:t>note 13,</w:t>
      </w:r>
    </w:p>
    <w:p w:rsidR="00174D0F" w:rsidRPr="005E7B77" w:rsidRDefault="0058300F" w:rsidP="00B572B4">
      <w:pPr>
        <w:pStyle w:val="EndnoteText"/>
        <w:rPr>
          <w:rFonts w:asciiTheme="minorHAnsi" w:hAnsiTheme="minorHAnsi"/>
        </w:rPr>
      </w:pPr>
      <w:hyperlink r:id="rId39" w:tgtFrame="_blank" w:history="1">
        <w:r w:rsidR="00174D0F" w:rsidRPr="005E7B77">
          <w:rPr>
            <w:rStyle w:val="Hyperlink"/>
            <w:rFonts w:asciiTheme="minorHAnsi" w:hAnsiTheme="minorHAnsi" w:cstheme="minorHAnsi"/>
          </w:rPr>
          <w:t>https://www.jct.gov/publications.html?func=startdown&amp;id=4413</w:t>
        </w:r>
      </w:hyperlink>
      <w:r w:rsidR="00174D0F" w:rsidRPr="005E7B77">
        <w:rPr>
          <w:rFonts w:asciiTheme="minorHAnsi" w:hAnsiTheme="minorHAnsi" w:cstheme="minorHAnsi"/>
          <w:color w:val="000000"/>
        </w:rPr>
        <w:t>.</w:t>
      </w:r>
    </w:p>
  </w:endnote>
  <w:endnote w:id="55">
    <w:p w:rsidR="00174D0F" w:rsidRPr="005E7B77" w:rsidRDefault="00174D0F" w:rsidP="00B572B4">
      <w:pPr>
        <w:pStyle w:val="EndnoteText"/>
        <w:rPr>
          <w:rFonts w:asciiTheme="minorHAnsi" w:hAnsiTheme="minorHAnsi" w:cs="Calibri"/>
        </w:rPr>
      </w:pPr>
      <w:r w:rsidRPr="005E7B77">
        <w:rPr>
          <w:rStyle w:val="EndnoteReference"/>
          <w:rFonts w:asciiTheme="minorHAnsi" w:hAnsiTheme="minorHAnsi" w:cs="Calibri"/>
        </w:rPr>
        <w:endnoteRef/>
      </w:r>
      <w:r w:rsidRPr="005E7B77">
        <w:rPr>
          <w:rFonts w:asciiTheme="minorHAnsi" w:hAnsiTheme="minorHAnsi" w:cs="Calibri"/>
        </w:rPr>
        <w:t xml:space="preserve"> </w:t>
      </w:r>
      <w:proofErr w:type="gramStart"/>
      <w:r w:rsidRPr="005E7B77">
        <w:rPr>
          <w:rFonts w:asciiTheme="minorHAnsi" w:hAnsiTheme="minorHAnsi" w:cs="Calibri"/>
        </w:rPr>
        <w:t>CTJ, “Top Federal Income Tax</w:t>
      </w:r>
      <w:r w:rsidR="00392544">
        <w:rPr>
          <w:rFonts w:asciiTheme="minorHAnsi" w:hAnsiTheme="minorHAnsi" w:cs="Calibri"/>
        </w:rPr>
        <w:t xml:space="preserve"> Rates Since 1913,” (Nov. 2011),</w:t>
      </w:r>
      <w:r w:rsidRPr="005E7B77">
        <w:rPr>
          <w:rFonts w:asciiTheme="minorHAnsi" w:hAnsiTheme="minorHAnsi" w:cs="Calibri"/>
        </w:rPr>
        <w:t xml:space="preserve"> </w:t>
      </w:r>
      <w:hyperlink r:id="rId40" w:history="1">
        <w:r w:rsidRPr="005E7B77">
          <w:rPr>
            <w:rStyle w:val="Hyperlink"/>
            <w:rFonts w:asciiTheme="minorHAnsi" w:hAnsiTheme="minorHAnsi" w:cs="Calibri"/>
          </w:rPr>
          <w:t>http://www.ctj.org/pdf/regcg.pdf</w:t>
        </w:r>
      </w:hyperlink>
      <w:r w:rsidRPr="005E7B77">
        <w:rPr>
          <w:rFonts w:asciiTheme="minorHAnsi" w:hAnsiTheme="minorHAnsi" w:cs="Calibri"/>
        </w:rPr>
        <w:t>.</w:t>
      </w:r>
      <w:proofErr w:type="gramEnd"/>
    </w:p>
  </w:endnote>
  <w:endnote w:id="56">
    <w:p w:rsidR="00174D0F" w:rsidRPr="005E7B77" w:rsidRDefault="00174D0F" w:rsidP="00B572B4">
      <w:pPr>
        <w:pStyle w:val="EndnoteText"/>
        <w:rPr>
          <w:rFonts w:asciiTheme="minorHAnsi" w:hAnsiTheme="minorHAnsi" w:cs="Calibri"/>
        </w:rPr>
      </w:pPr>
      <w:r w:rsidRPr="005E7B77">
        <w:rPr>
          <w:rStyle w:val="EndnoteReference"/>
          <w:rFonts w:asciiTheme="minorHAnsi" w:hAnsiTheme="minorHAnsi" w:cs="Calibri"/>
        </w:rPr>
        <w:endnoteRef/>
      </w:r>
      <w:r w:rsidRPr="005E7B77">
        <w:rPr>
          <w:rFonts w:asciiTheme="minorHAnsi" w:hAnsiTheme="minorHAnsi" w:cs="Calibri"/>
        </w:rPr>
        <w:t xml:space="preserve"> </w:t>
      </w:r>
      <w:proofErr w:type="gramStart"/>
      <w:r w:rsidRPr="005E7B77">
        <w:rPr>
          <w:rFonts w:asciiTheme="minorHAnsi" w:hAnsiTheme="minorHAnsi" w:cs="Calibri"/>
        </w:rPr>
        <w:t xml:space="preserve">Economic Policy Institute, </w:t>
      </w:r>
      <w:r w:rsidRPr="005E7B77">
        <w:rPr>
          <w:rFonts w:asciiTheme="minorHAnsi" w:hAnsiTheme="minorHAnsi" w:cs="Calibri"/>
          <w:i/>
        </w:rPr>
        <w:t>The State of Working America, 12</w:t>
      </w:r>
      <w:r w:rsidRPr="005E7B77">
        <w:rPr>
          <w:rFonts w:asciiTheme="minorHAnsi" w:hAnsiTheme="minorHAnsi" w:cs="Calibri"/>
          <w:i/>
          <w:vertAlign w:val="superscript"/>
        </w:rPr>
        <w:t>th</w:t>
      </w:r>
      <w:r w:rsidRPr="005E7B77">
        <w:rPr>
          <w:rFonts w:asciiTheme="minorHAnsi" w:hAnsiTheme="minorHAnsi" w:cs="Calibri"/>
          <w:i/>
        </w:rPr>
        <w:t xml:space="preserve"> Edition</w:t>
      </w:r>
      <w:r w:rsidRPr="005E7B77">
        <w:rPr>
          <w:rFonts w:asciiTheme="minorHAnsi" w:hAnsiTheme="minorHAnsi" w:cs="Calibri"/>
        </w:rPr>
        <w:t xml:space="preserve">, 2012 (Table 6.1), p. 379, </w:t>
      </w:r>
      <w:hyperlink r:id="rId41" w:history="1">
        <w:r w:rsidRPr="005E7B77">
          <w:rPr>
            <w:rStyle w:val="Hyperlink"/>
            <w:rFonts w:asciiTheme="minorHAnsi" w:hAnsiTheme="minorHAnsi" w:cs="Calibri"/>
          </w:rPr>
          <w:t>http://stateofworkingamerica.org/subjects/wealth/?reader</w:t>
        </w:r>
      </w:hyperlink>
      <w:r w:rsidRPr="005E7B77">
        <w:rPr>
          <w:rStyle w:val="Hyperlink"/>
          <w:rFonts w:asciiTheme="minorHAnsi" w:hAnsiTheme="minorHAnsi" w:cs="Calibri"/>
        </w:rPr>
        <w:t>.</w:t>
      </w:r>
      <w:proofErr w:type="gramEnd"/>
    </w:p>
  </w:endnote>
  <w:endnote w:id="57">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The National Economic Council, “The Buffett Rule: A Basic Principle of Tax Fairness” (April 2012), p. 4, </w:t>
      </w:r>
      <w:hyperlink r:id="rId42" w:history="1">
        <w:r w:rsidRPr="005E7B77">
          <w:rPr>
            <w:rStyle w:val="Hyperlink"/>
            <w:rFonts w:asciiTheme="minorHAnsi" w:hAnsiTheme="minorHAnsi"/>
          </w:rPr>
          <w:t>http://www.whitehouse.gov/sites/default/files/Buffett_Rule_Report_Final.pdf</w:t>
        </w:r>
      </w:hyperlink>
      <w:r w:rsidRPr="005E7B77">
        <w:rPr>
          <w:rStyle w:val="Hyperlink"/>
          <w:rFonts w:asciiTheme="minorHAnsi" w:hAnsiTheme="minorHAnsi"/>
        </w:rPr>
        <w:t>.</w:t>
      </w:r>
      <w:r w:rsidRPr="005E7B77">
        <w:rPr>
          <w:rFonts w:asciiTheme="minorHAnsi" w:hAnsiTheme="minorHAnsi"/>
        </w:rPr>
        <w:t xml:space="preserve">    </w:t>
      </w:r>
    </w:p>
  </w:endnote>
  <w:endnote w:id="58">
    <w:p w:rsidR="00174D0F" w:rsidRPr="005E7B77" w:rsidRDefault="00174D0F" w:rsidP="00B572B4">
      <w:pPr>
        <w:pStyle w:val="EndnoteText"/>
        <w:rPr>
          <w:rFonts w:asciiTheme="minorHAnsi" w:hAnsiTheme="minorHAnsi"/>
        </w:rPr>
      </w:pPr>
      <w:r w:rsidRPr="005E7B77">
        <w:rPr>
          <w:rStyle w:val="EndnoteReference"/>
          <w:rFonts w:asciiTheme="minorHAnsi" w:hAnsiTheme="minorHAnsi"/>
        </w:rPr>
        <w:endnoteRef/>
      </w:r>
      <w:r w:rsidRPr="005E7B77">
        <w:rPr>
          <w:rFonts w:asciiTheme="minorHAnsi" w:hAnsiTheme="minorHAnsi"/>
        </w:rPr>
        <w:t xml:space="preserve"> </w:t>
      </w:r>
      <w:proofErr w:type="gramStart"/>
      <w:r w:rsidRPr="005E7B77">
        <w:rPr>
          <w:rFonts w:asciiTheme="minorHAnsi" w:hAnsiTheme="minorHAnsi"/>
        </w:rPr>
        <w:t xml:space="preserve">CBO, </w:t>
      </w:r>
      <w:r w:rsidRPr="005E7B77">
        <w:rPr>
          <w:rFonts w:asciiTheme="minorHAnsi" w:hAnsiTheme="minorHAnsi"/>
          <w:bCs/>
        </w:rPr>
        <w:t>Budgetary Effects of S. 1660, The American Jobs Act of 2011, as introduced</w:t>
      </w:r>
      <w:r w:rsidRPr="005E7B77">
        <w:rPr>
          <w:rFonts w:asciiTheme="minorHAnsi" w:hAnsiTheme="minorHAnsi"/>
          <w:b/>
          <w:bCs/>
        </w:rPr>
        <w:t xml:space="preserve"> </w:t>
      </w:r>
      <w:r w:rsidRPr="005E7B77">
        <w:rPr>
          <w:rFonts w:asciiTheme="minorHAnsi" w:hAnsiTheme="minorHAnsi"/>
          <w:bCs/>
        </w:rPr>
        <w:t>(Oct. 7, 2011),</w:t>
      </w:r>
      <w:r w:rsidRPr="005E7B77">
        <w:rPr>
          <w:rFonts w:asciiTheme="minorHAnsi" w:hAnsiTheme="minorHAnsi"/>
          <w:b/>
          <w:bCs/>
        </w:rPr>
        <w:t xml:space="preserve"> </w:t>
      </w:r>
      <w:hyperlink r:id="rId43" w:history="1">
        <w:r w:rsidRPr="005E7B77">
          <w:rPr>
            <w:rStyle w:val="Hyperlink"/>
            <w:rFonts w:asciiTheme="minorHAnsi" w:hAnsiTheme="minorHAnsi"/>
          </w:rPr>
          <w:t>http://www.cbo.gov/sites/default/files/cbofiles/attachments/s1660.pdf</w:t>
        </w:r>
      </w:hyperlink>
      <w:r w:rsidRPr="005E7B77">
        <w:rPr>
          <w:rStyle w:val="Hyperlink"/>
          <w:rFonts w:asciiTheme="minorHAnsi" w:hAnsiTheme="minorHAnsi"/>
        </w:rPr>
        <w:t>.</w:t>
      </w:r>
      <w:proofErr w:type="gramEnd"/>
    </w:p>
  </w:endnote>
  <w:endnote w:id="59">
    <w:p w:rsidR="00174D0F" w:rsidRPr="005E7B77" w:rsidRDefault="00174D0F" w:rsidP="00B572B4">
      <w:pPr>
        <w:spacing w:after="0" w:line="240" w:lineRule="auto"/>
        <w:rPr>
          <w:sz w:val="20"/>
          <w:szCs w:val="20"/>
        </w:rPr>
      </w:pPr>
      <w:r w:rsidRPr="005E7B77">
        <w:rPr>
          <w:rStyle w:val="EndnoteReference"/>
          <w:sz w:val="20"/>
          <w:szCs w:val="20"/>
        </w:rPr>
        <w:endnoteRef/>
      </w:r>
      <w:r w:rsidRPr="005E7B77">
        <w:rPr>
          <w:sz w:val="20"/>
          <w:szCs w:val="20"/>
        </w:rPr>
        <w:t xml:space="preserve"> </w:t>
      </w:r>
      <w:r w:rsidRPr="005E7B77">
        <w:rPr>
          <w:rFonts w:cs="Calibri"/>
          <w:sz w:val="20"/>
          <w:szCs w:val="20"/>
        </w:rPr>
        <w:t xml:space="preserve">TPC, Table T11-0369: Senate Version of American Jobs Act of 2011: 5.6 Percent Surtax on Millionaires (Oct. 6, 2011), </w:t>
      </w:r>
      <w:hyperlink r:id="rId44" w:history="1">
        <w:r w:rsidRPr="005E7B77">
          <w:rPr>
            <w:rStyle w:val="Hyperlink"/>
            <w:rFonts w:cs="Calibri"/>
            <w:sz w:val="20"/>
            <w:szCs w:val="20"/>
          </w:rPr>
          <w:t>http://www.taxpolicycenter.org/numbers/Content/PDF/T11-0369.pdf</w:t>
        </w:r>
      </w:hyperlink>
      <w:r w:rsidRPr="005E7B77">
        <w:rPr>
          <w:rStyle w:val="Hyperlink"/>
          <w:rFonts w:cs="Calibri"/>
          <w:sz w:val="20"/>
          <w:szCs w:val="20"/>
        </w:rPr>
        <w:t>.</w:t>
      </w:r>
    </w:p>
  </w:endnote>
  <w:endnote w:id="60">
    <w:p w:rsidR="00174D0F" w:rsidRDefault="00174D0F" w:rsidP="00B572B4">
      <w:pPr>
        <w:pStyle w:val="EndnoteText"/>
      </w:pPr>
      <w:r w:rsidRPr="005E7B77">
        <w:rPr>
          <w:rStyle w:val="EndnoteReference"/>
          <w:rFonts w:asciiTheme="minorHAnsi" w:hAnsiTheme="minorHAnsi"/>
        </w:rPr>
        <w:endnoteRef/>
      </w:r>
      <w:r w:rsidRPr="005E7B77">
        <w:rPr>
          <w:rFonts w:asciiTheme="minorHAnsi" w:hAnsiTheme="minorHAnsi"/>
        </w:rPr>
        <w:t xml:space="preserve"> Estimate provided by U.S. Senate staff based on unpublished data from the JCT (Feb. 6, 2013).</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g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F" w:rsidRPr="009779A6" w:rsidRDefault="00174D0F">
    <w:pPr>
      <w:pStyle w:val="Footer"/>
      <w:pBdr>
        <w:top w:val="thinThickSmallGap" w:sz="24" w:space="1" w:color="622423" w:themeColor="accent2" w:themeShade="7F"/>
      </w:pBdr>
      <w:rPr>
        <w:rFonts w:eastAsiaTheme="majorEastAsia" w:cstheme="majorBidi"/>
        <w:sz w:val="20"/>
        <w:szCs w:val="20"/>
      </w:rPr>
    </w:pPr>
    <w:r w:rsidRPr="009779A6">
      <w:rPr>
        <w:rFonts w:eastAsiaTheme="majorEastAsia" w:cstheme="majorBidi"/>
        <w:sz w:val="20"/>
        <w:szCs w:val="20"/>
      </w:rPr>
      <w:t>Americans for Tax Fairness</w:t>
    </w:r>
    <w:r w:rsidRPr="009779A6">
      <w:rPr>
        <w:rFonts w:eastAsiaTheme="majorEastAsia" w:cstheme="majorBidi"/>
        <w:sz w:val="20"/>
        <w:szCs w:val="20"/>
      </w:rPr>
      <w:tab/>
    </w:r>
    <w:r w:rsidRPr="009779A6">
      <w:rPr>
        <w:rFonts w:eastAsiaTheme="majorEastAsia" w:cstheme="majorBidi"/>
        <w:sz w:val="20"/>
        <w:szCs w:val="20"/>
      </w:rPr>
      <w:ptab w:relativeTo="margin" w:alignment="right" w:leader="none"/>
    </w:r>
    <w:r w:rsidRPr="009779A6">
      <w:rPr>
        <w:rFonts w:eastAsiaTheme="majorEastAsia" w:cstheme="majorBidi"/>
        <w:sz w:val="20"/>
        <w:szCs w:val="20"/>
      </w:rPr>
      <w:t xml:space="preserve">Page </w:t>
    </w:r>
    <w:r w:rsidRPr="009779A6">
      <w:rPr>
        <w:rFonts w:eastAsiaTheme="minorEastAsia"/>
        <w:sz w:val="20"/>
        <w:szCs w:val="20"/>
      </w:rPr>
      <w:fldChar w:fldCharType="begin"/>
    </w:r>
    <w:r w:rsidRPr="009779A6">
      <w:rPr>
        <w:sz w:val="20"/>
        <w:szCs w:val="20"/>
      </w:rPr>
      <w:instrText xml:space="preserve"> PAGE   \* MERGEFORMAT </w:instrText>
    </w:r>
    <w:r w:rsidRPr="009779A6">
      <w:rPr>
        <w:rFonts w:eastAsiaTheme="minorEastAsia"/>
        <w:sz w:val="20"/>
        <w:szCs w:val="20"/>
      </w:rPr>
      <w:fldChar w:fldCharType="separate"/>
    </w:r>
    <w:r w:rsidR="00363BCC" w:rsidRPr="00363BCC">
      <w:rPr>
        <w:rFonts w:eastAsiaTheme="majorEastAsia" w:cstheme="majorBidi"/>
        <w:noProof/>
        <w:sz w:val="20"/>
        <w:szCs w:val="20"/>
      </w:rPr>
      <w:t>19</w:t>
    </w:r>
    <w:r w:rsidRPr="009779A6">
      <w:rPr>
        <w:rFonts w:eastAsiaTheme="majorEastAsia" w:cstheme="majorBidi"/>
        <w:noProof/>
        <w:sz w:val="20"/>
        <w:szCs w:val="20"/>
      </w:rPr>
      <w:fldChar w:fldCharType="end"/>
    </w:r>
  </w:p>
  <w:p w:rsidR="00174D0F" w:rsidRDefault="00174D0F" w:rsidP="00AE60F5">
    <w:pPr>
      <w:pStyle w:val="BasicParagraph"/>
      <w:jc w:val="center"/>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0F" w:rsidRDefault="0058300F" w:rsidP="00477E0F">
      <w:pPr>
        <w:spacing w:after="0" w:line="240" w:lineRule="auto"/>
      </w:pPr>
      <w:r>
        <w:separator/>
      </w:r>
    </w:p>
  </w:footnote>
  <w:footnote w:type="continuationSeparator" w:id="0">
    <w:p w:rsidR="0058300F" w:rsidRDefault="0058300F" w:rsidP="00477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C7D"/>
    <w:multiLevelType w:val="hybridMultilevel"/>
    <w:tmpl w:val="3DAA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240E8"/>
    <w:multiLevelType w:val="hybridMultilevel"/>
    <w:tmpl w:val="C9FA1BE2"/>
    <w:lvl w:ilvl="0" w:tplc="F1F49F0A">
      <w:start w:val="1"/>
      <w:numFmt w:val="upperRoman"/>
      <w:lvlText w:val="%1."/>
      <w:lvlJc w:val="left"/>
      <w:pPr>
        <w:ind w:left="1080" w:hanging="7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373ED"/>
    <w:multiLevelType w:val="hybridMultilevel"/>
    <w:tmpl w:val="F58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03E59"/>
    <w:multiLevelType w:val="hybridMultilevel"/>
    <w:tmpl w:val="CDC24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04025"/>
    <w:multiLevelType w:val="hybridMultilevel"/>
    <w:tmpl w:val="65002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A1049"/>
    <w:multiLevelType w:val="hybridMultilevel"/>
    <w:tmpl w:val="0456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C82023"/>
    <w:multiLevelType w:val="hybridMultilevel"/>
    <w:tmpl w:val="71403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CD03FC"/>
    <w:multiLevelType w:val="hybridMultilevel"/>
    <w:tmpl w:val="A4B64A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D547C3"/>
    <w:multiLevelType w:val="hybridMultilevel"/>
    <w:tmpl w:val="8AFC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076036"/>
    <w:multiLevelType w:val="hybridMultilevel"/>
    <w:tmpl w:val="2BF013DA"/>
    <w:lvl w:ilvl="0" w:tplc="D9922DE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39483A"/>
    <w:multiLevelType w:val="hybridMultilevel"/>
    <w:tmpl w:val="AA08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03391"/>
    <w:multiLevelType w:val="hybridMultilevel"/>
    <w:tmpl w:val="0A6E953C"/>
    <w:lvl w:ilvl="0" w:tplc="87A8B864">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55D0E09"/>
    <w:multiLevelType w:val="multilevel"/>
    <w:tmpl w:val="50180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7E0B49"/>
    <w:multiLevelType w:val="hybridMultilevel"/>
    <w:tmpl w:val="EACC20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6E0C87"/>
    <w:multiLevelType w:val="hybridMultilevel"/>
    <w:tmpl w:val="8C8C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3C41D3"/>
    <w:multiLevelType w:val="hybridMultilevel"/>
    <w:tmpl w:val="D84C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937938"/>
    <w:multiLevelType w:val="hybridMultilevel"/>
    <w:tmpl w:val="4D88B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5B6AE4"/>
    <w:multiLevelType w:val="hybridMultilevel"/>
    <w:tmpl w:val="FABCA3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2B6A34"/>
    <w:multiLevelType w:val="hybridMultilevel"/>
    <w:tmpl w:val="27D8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8B56B3"/>
    <w:multiLevelType w:val="hybridMultilevel"/>
    <w:tmpl w:val="D36C7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D97E68"/>
    <w:multiLevelType w:val="hybridMultilevel"/>
    <w:tmpl w:val="7F241C56"/>
    <w:lvl w:ilvl="0" w:tplc="68445F4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163D11"/>
    <w:multiLevelType w:val="hybridMultilevel"/>
    <w:tmpl w:val="FD8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C34D9E"/>
    <w:multiLevelType w:val="hybridMultilevel"/>
    <w:tmpl w:val="DC12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5105C"/>
    <w:multiLevelType w:val="hybridMultilevel"/>
    <w:tmpl w:val="A2C28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24377A"/>
    <w:multiLevelType w:val="hybridMultilevel"/>
    <w:tmpl w:val="146CE4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6051FD"/>
    <w:multiLevelType w:val="hybridMultilevel"/>
    <w:tmpl w:val="31B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
  </w:num>
  <w:num w:numId="4">
    <w:abstractNumId w:val="13"/>
  </w:num>
  <w:num w:numId="5">
    <w:abstractNumId w:val="17"/>
  </w:num>
  <w:num w:numId="6">
    <w:abstractNumId w:val="9"/>
  </w:num>
  <w:num w:numId="7">
    <w:abstractNumId w:val="8"/>
  </w:num>
  <w:num w:numId="8">
    <w:abstractNumId w:val="5"/>
  </w:num>
  <w:num w:numId="9">
    <w:abstractNumId w:val="24"/>
  </w:num>
  <w:num w:numId="10">
    <w:abstractNumId w:val="18"/>
  </w:num>
  <w:num w:numId="11">
    <w:abstractNumId w:val="16"/>
  </w:num>
  <w:num w:numId="12">
    <w:abstractNumId w:val="10"/>
  </w:num>
  <w:num w:numId="13">
    <w:abstractNumId w:val="7"/>
  </w:num>
  <w:num w:numId="14">
    <w:abstractNumId w:val="12"/>
  </w:num>
  <w:num w:numId="15">
    <w:abstractNumId w:val="22"/>
  </w:num>
  <w:num w:numId="16">
    <w:abstractNumId w:val="14"/>
  </w:num>
  <w:num w:numId="17">
    <w:abstractNumId w:val="0"/>
  </w:num>
  <w:num w:numId="18">
    <w:abstractNumId w:val="6"/>
  </w:num>
  <w:num w:numId="19">
    <w:abstractNumId w:val="21"/>
  </w:num>
  <w:num w:numId="20">
    <w:abstractNumId w:val="1"/>
  </w:num>
  <w:num w:numId="21">
    <w:abstractNumId w:val="25"/>
  </w:num>
  <w:num w:numId="22">
    <w:abstractNumId w:val="4"/>
  </w:num>
  <w:num w:numId="23">
    <w:abstractNumId w:val="20"/>
  </w:num>
  <w:num w:numId="24">
    <w:abstractNumId w:val="3"/>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0F"/>
    <w:rsid w:val="00001F98"/>
    <w:rsid w:val="00004F00"/>
    <w:rsid w:val="00005C94"/>
    <w:rsid w:val="0002537E"/>
    <w:rsid w:val="00031E00"/>
    <w:rsid w:val="00040FD4"/>
    <w:rsid w:val="000474F7"/>
    <w:rsid w:val="00047BB5"/>
    <w:rsid w:val="00051284"/>
    <w:rsid w:val="00054A13"/>
    <w:rsid w:val="00061831"/>
    <w:rsid w:val="00071308"/>
    <w:rsid w:val="00081664"/>
    <w:rsid w:val="00082193"/>
    <w:rsid w:val="00084237"/>
    <w:rsid w:val="000848EE"/>
    <w:rsid w:val="000A0751"/>
    <w:rsid w:val="000A1071"/>
    <w:rsid w:val="000C4300"/>
    <w:rsid w:val="000C4334"/>
    <w:rsid w:val="000C66AC"/>
    <w:rsid w:val="000C798F"/>
    <w:rsid w:val="000D1750"/>
    <w:rsid w:val="000D3B2D"/>
    <w:rsid w:val="001045B4"/>
    <w:rsid w:val="001378DF"/>
    <w:rsid w:val="001444AE"/>
    <w:rsid w:val="00165914"/>
    <w:rsid w:val="00174D0F"/>
    <w:rsid w:val="00177790"/>
    <w:rsid w:val="00180119"/>
    <w:rsid w:val="00181F31"/>
    <w:rsid w:val="00192FD7"/>
    <w:rsid w:val="001951F6"/>
    <w:rsid w:val="001B3609"/>
    <w:rsid w:val="001B66FB"/>
    <w:rsid w:val="001D58C0"/>
    <w:rsid w:val="001D69A6"/>
    <w:rsid w:val="001D6A78"/>
    <w:rsid w:val="001E3F2D"/>
    <w:rsid w:val="001F0D27"/>
    <w:rsid w:val="001F3D53"/>
    <w:rsid w:val="0020079F"/>
    <w:rsid w:val="00203EF8"/>
    <w:rsid w:val="00211935"/>
    <w:rsid w:val="00213588"/>
    <w:rsid w:val="002154A1"/>
    <w:rsid w:val="00227437"/>
    <w:rsid w:val="00230A2C"/>
    <w:rsid w:val="00236980"/>
    <w:rsid w:val="0023786B"/>
    <w:rsid w:val="002412E1"/>
    <w:rsid w:val="00265040"/>
    <w:rsid w:val="00274A52"/>
    <w:rsid w:val="002927CB"/>
    <w:rsid w:val="002945F7"/>
    <w:rsid w:val="002A3642"/>
    <w:rsid w:val="002B2D7F"/>
    <w:rsid w:val="002B4419"/>
    <w:rsid w:val="002D1189"/>
    <w:rsid w:val="002E3173"/>
    <w:rsid w:val="002F2092"/>
    <w:rsid w:val="003101D4"/>
    <w:rsid w:val="00312907"/>
    <w:rsid w:val="003153C6"/>
    <w:rsid w:val="003225D3"/>
    <w:rsid w:val="00323C45"/>
    <w:rsid w:val="0033042A"/>
    <w:rsid w:val="00331DC8"/>
    <w:rsid w:val="00346DE5"/>
    <w:rsid w:val="00347D73"/>
    <w:rsid w:val="00363A6E"/>
    <w:rsid w:val="00363BCC"/>
    <w:rsid w:val="00371E4C"/>
    <w:rsid w:val="003867AC"/>
    <w:rsid w:val="00392544"/>
    <w:rsid w:val="003B1ED2"/>
    <w:rsid w:val="003B5915"/>
    <w:rsid w:val="003B5E62"/>
    <w:rsid w:val="003B7D4B"/>
    <w:rsid w:val="003C03FC"/>
    <w:rsid w:val="003C2E35"/>
    <w:rsid w:val="003C66D5"/>
    <w:rsid w:val="003D5407"/>
    <w:rsid w:val="003D5A57"/>
    <w:rsid w:val="003D75EB"/>
    <w:rsid w:val="003E1FCC"/>
    <w:rsid w:val="003E20ED"/>
    <w:rsid w:val="00406998"/>
    <w:rsid w:val="00422AD3"/>
    <w:rsid w:val="0042634A"/>
    <w:rsid w:val="00443A51"/>
    <w:rsid w:val="004567B3"/>
    <w:rsid w:val="004642FD"/>
    <w:rsid w:val="00466F51"/>
    <w:rsid w:val="00474AA7"/>
    <w:rsid w:val="00475D1C"/>
    <w:rsid w:val="00477E0F"/>
    <w:rsid w:val="00486B2A"/>
    <w:rsid w:val="0048741C"/>
    <w:rsid w:val="00492829"/>
    <w:rsid w:val="004A7F2C"/>
    <w:rsid w:val="004B158A"/>
    <w:rsid w:val="004D1878"/>
    <w:rsid w:val="004D22C8"/>
    <w:rsid w:val="004E455C"/>
    <w:rsid w:val="004E51A3"/>
    <w:rsid w:val="004E5B1E"/>
    <w:rsid w:val="004F7B7D"/>
    <w:rsid w:val="00506B21"/>
    <w:rsid w:val="0051270F"/>
    <w:rsid w:val="00512B80"/>
    <w:rsid w:val="00513BC4"/>
    <w:rsid w:val="00531DA0"/>
    <w:rsid w:val="00535457"/>
    <w:rsid w:val="00536042"/>
    <w:rsid w:val="005419C6"/>
    <w:rsid w:val="005517A6"/>
    <w:rsid w:val="005631DE"/>
    <w:rsid w:val="00574437"/>
    <w:rsid w:val="0058300F"/>
    <w:rsid w:val="005A17C8"/>
    <w:rsid w:val="005A3AA4"/>
    <w:rsid w:val="005C1849"/>
    <w:rsid w:val="005C34C1"/>
    <w:rsid w:val="005C7243"/>
    <w:rsid w:val="005D005D"/>
    <w:rsid w:val="005D0FC9"/>
    <w:rsid w:val="005D18C6"/>
    <w:rsid w:val="005D2268"/>
    <w:rsid w:val="005E1443"/>
    <w:rsid w:val="005E7B77"/>
    <w:rsid w:val="006034BB"/>
    <w:rsid w:val="006071A4"/>
    <w:rsid w:val="0061045A"/>
    <w:rsid w:val="00626326"/>
    <w:rsid w:val="006267DA"/>
    <w:rsid w:val="006270C1"/>
    <w:rsid w:val="00635091"/>
    <w:rsid w:val="00642659"/>
    <w:rsid w:val="0065212B"/>
    <w:rsid w:val="00656CE4"/>
    <w:rsid w:val="00663415"/>
    <w:rsid w:val="00670C7D"/>
    <w:rsid w:val="00680DB9"/>
    <w:rsid w:val="00685E7F"/>
    <w:rsid w:val="00690585"/>
    <w:rsid w:val="00691BAD"/>
    <w:rsid w:val="006A70A8"/>
    <w:rsid w:val="006B4430"/>
    <w:rsid w:val="006D43E3"/>
    <w:rsid w:val="006E33F3"/>
    <w:rsid w:val="006E792A"/>
    <w:rsid w:val="007067F4"/>
    <w:rsid w:val="007077BD"/>
    <w:rsid w:val="007128D9"/>
    <w:rsid w:val="00714C45"/>
    <w:rsid w:val="00716929"/>
    <w:rsid w:val="00721110"/>
    <w:rsid w:val="00722880"/>
    <w:rsid w:val="00727660"/>
    <w:rsid w:val="00737CB8"/>
    <w:rsid w:val="007445DA"/>
    <w:rsid w:val="0074559D"/>
    <w:rsid w:val="00751A78"/>
    <w:rsid w:val="00757558"/>
    <w:rsid w:val="00764310"/>
    <w:rsid w:val="00771790"/>
    <w:rsid w:val="00771C10"/>
    <w:rsid w:val="0077310B"/>
    <w:rsid w:val="007752B8"/>
    <w:rsid w:val="0077770E"/>
    <w:rsid w:val="0078175E"/>
    <w:rsid w:val="00784A25"/>
    <w:rsid w:val="007A0B54"/>
    <w:rsid w:val="007A4C65"/>
    <w:rsid w:val="007A5D65"/>
    <w:rsid w:val="007A60A1"/>
    <w:rsid w:val="007B1E7C"/>
    <w:rsid w:val="007B2D2B"/>
    <w:rsid w:val="007B469C"/>
    <w:rsid w:val="007B59F3"/>
    <w:rsid w:val="007C41BF"/>
    <w:rsid w:val="007C4A54"/>
    <w:rsid w:val="007C5ADC"/>
    <w:rsid w:val="007D500D"/>
    <w:rsid w:val="007D6A2C"/>
    <w:rsid w:val="007E789E"/>
    <w:rsid w:val="007F2E8F"/>
    <w:rsid w:val="007F3ECE"/>
    <w:rsid w:val="007F6B6D"/>
    <w:rsid w:val="00800A46"/>
    <w:rsid w:val="008074F4"/>
    <w:rsid w:val="008103EC"/>
    <w:rsid w:val="00811370"/>
    <w:rsid w:val="00824236"/>
    <w:rsid w:val="008361A6"/>
    <w:rsid w:val="00840D77"/>
    <w:rsid w:val="00864970"/>
    <w:rsid w:val="00865FE6"/>
    <w:rsid w:val="00871089"/>
    <w:rsid w:val="00876F47"/>
    <w:rsid w:val="0087721F"/>
    <w:rsid w:val="00877635"/>
    <w:rsid w:val="00882CF1"/>
    <w:rsid w:val="00885DC9"/>
    <w:rsid w:val="00893600"/>
    <w:rsid w:val="008942CF"/>
    <w:rsid w:val="008A153F"/>
    <w:rsid w:val="008A7CF7"/>
    <w:rsid w:val="008C5027"/>
    <w:rsid w:val="008E4F54"/>
    <w:rsid w:val="008E731F"/>
    <w:rsid w:val="008F57D4"/>
    <w:rsid w:val="008F789A"/>
    <w:rsid w:val="00902C3C"/>
    <w:rsid w:val="00914083"/>
    <w:rsid w:val="00921429"/>
    <w:rsid w:val="00923ADA"/>
    <w:rsid w:val="00931E36"/>
    <w:rsid w:val="00934C97"/>
    <w:rsid w:val="00935C27"/>
    <w:rsid w:val="00936477"/>
    <w:rsid w:val="00951A76"/>
    <w:rsid w:val="0095217C"/>
    <w:rsid w:val="009526FB"/>
    <w:rsid w:val="00957E12"/>
    <w:rsid w:val="00960657"/>
    <w:rsid w:val="00964FF1"/>
    <w:rsid w:val="00965DA4"/>
    <w:rsid w:val="0097145F"/>
    <w:rsid w:val="00971A66"/>
    <w:rsid w:val="0097312B"/>
    <w:rsid w:val="009779A6"/>
    <w:rsid w:val="00983681"/>
    <w:rsid w:val="00987927"/>
    <w:rsid w:val="00990C77"/>
    <w:rsid w:val="009923D9"/>
    <w:rsid w:val="00994105"/>
    <w:rsid w:val="0099758D"/>
    <w:rsid w:val="009A0B77"/>
    <w:rsid w:val="009A4220"/>
    <w:rsid w:val="009B4C4A"/>
    <w:rsid w:val="009B6DBC"/>
    <w:rsid w:val="009B7F2B"/>
    <w:rsid w:val="009C1094"/>
    <w:rsid w:val="009C28B2"/>
    <w:rsid w:val="009C4A2B"/>
    <w:rsid w:val="009C5CDC"/>
    <w:rsid w:val="009C687E"/>
    <w:rsid w:val="009D198B"/>
    <w:rsid w:val="009D2CA4"/>
    <w:rsid w:val="009D77B2"/>
    <w:rsid w:val="009E1E1B"/>
    <w:rsid w:val="009E41FF"/>
    <w:rsid w:val="009E5493"/>
    <w:rsid w:val="00A01B06"/>
    <w:rsid w:val="00A037FB"/>
    <w:rsid w:val="00A13E7C"/>
    <w:rsid w:val="00A16E7A"/>
    <w:rsid w:val="00A220E7"/>
    <w:rsid w:val="00A22D1D"/>
    <w:rsid w:val="00A23AD7"/>
    <w:rsid w:val="00A260DB"/>
    <w:rsid w:val="00A3168E"/>
    <w:rsid w:val="00A35740"/>
    <w:rsid w:val="00A37C2B"/>
    <w:rsid w:val="00A43971"/>
    <w:rsid w:val="00A43C97"/>
    <w:rsid w:val="00A44695"/>
    <w:rsid w:val="00A5509A"/>
    <w:rsid w:val="00A6201D"/>
    <w:rsid w:val="00A62665"/>
    <w:rsid w:val="00A66D3D"/>
    <w:rsid w:val="00A76606"/>
    <w:rsid w:val="00A904ED"/>
    <w:rsid w:val="00A92DC7"/>
    <w:rsid w:val="00A946AB"/>
    <w:rsid w:val="00AA1E55"/>
    <w:rsid w:val="00AA2E6D"/>
    <w:rsid w:val="00AA6F3C"/>
    <w:rsid w:val="00AC5B18"/>
    <w:rsid w:val="00AC61C7"/>
    <w:rsid w:val="00AD2B07"/>
    <w:rsid w:val="00AE183E"/>
    <w:rsid w:val="00AE60F5"/>
    <w:rsid w:val="00AF1F24"/>
    <w:rsid w:val="00AF2223"/>
    <w:rsid w:val="00AF7170"/>
    <w:rsid w:val="00B02123"/>
    <w:rsid w:val="00B0658E"/>
    <w:rsid w:val="00B15F90"/>
    <w:rsid w:val="00B2681B"/>
    <w:rsid w:val="00B26B84"/>
    <w:rsid w:val="00B300B4"/>
    <w:rsid w:val="00B572B4"/>
    <w:rsid w:val="00B6104F"/>
    <w:rsid w:val="00B61B7B"/>
    <w:rsid w:val="00B643C7"/>
    <w:rsid w:val="00B6661E"/>
    <w:rsid w:val="00B729DC"/>
    <w:rsid w:val="00B81852"/>
    <w:rsid w:val="00B84F94"/>
    <w:rsid w:val="00B934D6"/>
    <w:rsid w:val="00B9618B"/>
    <w:rsid w:val="00BC1464"/>
    <w:rsid w:val="00BC6FFD"/>
    <w:rsid w:val="00BE3F91"/>
    <w:rsid w:val="00BE4753"/>
    <w:rsid w:val="00BE5825"/>
    <w:rsid w:val="00BF19D7"/>
    <w:rsid w:val="00C128E6"/>
    <w:rsid w:val="00C1293E"/>
    <w:rsid w:val="00C250AC"/>
    <w:rsid w:val="00C25437"/>
    <w:rsid w:val="00C378BB"/>
    <w:rsid w:val="00C4001B"/>
    <w:rsid w:val="00C44E9D"/>
    <w:rsid w:val="00C54D0C"/>
    <w:rsid w:val="00C616CF"/>
    <w:rsid w:val="00C661C1"/>
    <w:rsid w:val="00C66723"/>
    <w:rsid w:val="00C71427"/>
    <w:rsid w:val="00C8029E"/>
    <w:rsid w:val="00C87B04"/>
    <w:rsid w:val="00C96B50"/>
    <w:rsid w:val="00CA2D93"/>
    <w:rsid w:val="00CA32AF"/>
    <w:rsid w:val="00CA3930"/>
    <w:rsid w:val="00CA6076"/>
    <w:rsid w:val="00CB703A"/>
    <w:rsid w:val="00CE0886"/>
    <w:rsid w:val="00CE3E1C"/>
    <w:rsid w:val="00CF0A1D"/>
    <w:rsid w:val="00CF5FC6"/>
    <w:rsid w:val="00CF767E"/>
    <w:rsid w:val="00D05EBD"/>
    <w:rsid w:val="00D13DCA"/>
    <w:rsid w:val="00D1547C"/>
    <w:rsid w:val="00D2008E"/>
    <w:rsid w:val="00D268B6"/>
    <w:rsid w:val="00D3039B"/>
    <w:rsid w:val="00D30FB5"/>
    <w:rsid w:val="00D40701"/>
    <w:rsid w:val="00D47943"/>
    <w:rsid w:val="00D51843"/>
    <w:rsid w:val="00D52609"/>
    <w:rsid w:val="00D53651"/>
    <w:rsid w:val="00D75724"/>
    <w:rsid w:val="00D814E8"/>
    <w:rsid w:val="00D82C2F"/>
    <w:rsid w:val="00D8517E"/>
    <w:rsid w:val="00D852B1"/>
    <w:rsid w:val="00D85380"/>
    <w:rsid w:val="00D85B97"/>
    <w:rsid w:val="00DA2A1D"/>
    <w:rsid w:val="00DB6342"/>
    <w:rsid w:val="00DB65CA"/>
    <w:rsid w:val="00DB690C"/>
    <w:rsid w:val="00DD10A2"/>
    <w:rsid w:val="00DD50AD"/>
    <w:rsid w:val="00DD74DB"/>
    <w:rsid w:val="00DF3956"/>
    <w:rsid w:val="00E02592"/>
    <w:rsid w:val="00E13EA4"/>
    <w:rsid w:val="00E1699A"/>
    <w:rsid w:val="00E26A86"/>
    <w:rsid w:val="00E33A8C"/>
    <w:rsid w:val="00E33DBE"/>
    <w:rsid w:val="00E4527B"/>
    <w:rsid w:val="00E57249"/>
    <w:rsid w:val="00E57D74"/>
    <w:rsid w:val="00E75EDF"/>
    <w:rsid w:val="00E81BC2"/>
    <w:rsid w:val="00EA2399"/>
    <w:rsid w:val="00EB4FF6"/>
    <w:rsid w:val="00EC17DE"/>
    <w:rsid w:val="00EC203F"/>
    <w:rsid w:val="00F03845"/>
    <w:rsid w:val="00F10C4F"/>
    <w:rsid w:val="00F14498"/>
    <w:rsid w:val="00F15604"/>
    <w:rsid w:val="00F17541"/>
    <w:rsid w:val="00F226A2"/>
    <w:rsid w:val="00F2694D"/>
    <w:rsid w:val="00F33F66"/>
    <w:rsid w:val="00F36195"/>
    <w:rsid w:val="00F451BA"/>
    <w:rsid w:val="00F47C6D"/>
    <w:rsid w:val="00F528B9"/>
    <w:rsid w:val="00F533FC"/>
    <w:rsid w:val="00F566B1"/>
    <w:rsid w:val="00F57F34"/>
    <w:rsid w:val="00F6044D"/>
    <w:rsid w:val="00F63969"/>
    <w:rsid w:val="00F66850"/>
    <w:rsid w:val="00F800E9"/>
    <w:rsid w:val="00F81FAD"/>
    <w:rsid w:val="00FA14C8"/>
    <w:rsid w:val="00FA196C"/>
    <w:rsid w:val="00FA6AB8"/>
    <w:rsid w:val="00FB0F60"/>
    <w:rsid w:val="00FB49A9"/>
    <w:rsid w:val="00FC27B7"/>
    <w:rsid w:val="00FC725A"/>
    <w:rsid w:val="00FC72D3"/>
    <w:rsid w:val="00FE29C8"/>
    <w:rsid w:val="00FF04C0"/>
    <w:rsid w:val="00FF233E"/>
    <w:rsid w:val="00FF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3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0F"/>
  </w:style>
  <w:style w:type="paragraph" w:styleId="Footer">
    <w:name w:val="footer"/>
    <w:basedOn w:val="Normal"/>
    <w:link w:val="FooterChar"/>
    <w:uiPriority w:val="99"/>
    <w:unhideWhenUsed/>
    <w:rsid w:val="0047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0F"/>
  </w:style>
  <w:style w:type="paragraph" w:styleId="ListParagraph">
    <w:name w:val="List Paragraph"/>
    <w:basedOn w:val="Normal"/>
    <w:link w:val="ListParagraphChar"/>
    <w:uiPriority w:val="34"/>
    <w:qFormat/>
    <w:rsid w:val="00477E0F"/>
    <w:pPr>
      <w:ind w:left="720"/>
      <w:contextualSpacing/>
    </w:pPr>
  </w:style>
  <w:style w:type="character" w:styleId="Hyperlink">
    <w:name w:val="Hyperlink"/>
    <w:uiPriority w:val="99"/>
    <w:rsid w:val="00477E0F"/>
    <w:rPr>
      <w:color w:val="0000FF"/>
      <w:u w:val="single"/>
    </w:rPr>
  </w:style>
  <w:style w:type="paragraph" w:customStyle="1" w:styleId="BasicParagraph">
    <w:name w:val="[Basic Paragraph]"/>
    <w:basedOn w:val="Normal"/>
    <w:uiPriority w:val="99"/>
    <w:rsid w:val="00477E0F"/>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styleId="EndnoteText">
    <w:name w:val="endnote text"/>
    <w:basedOn w:val="Normal"/>
    <w:link w:val="EndnoteTextChar"/>
    <w:uiPriority w:val="99"/>
    <w:rsid w:val="00477E0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477E0F"/>
    <w:rPr>
      <w:rFonts w:ascii="Calibri" w:eastAsia="Calibri" w:hAnsi="Calibri" w:cs="Times New Roman"/>
      <w:sz w:val="20"/>
      <w:szCs w:val="20"/>
    </w:rPr>
  </w:style>
  <w:style w:type="character" w:styleId="EndnoteReference">
    <w:name w:val="endnote reference"/>
    <w:uiPriority w:val="99"/>
    <w:rsid w:val="00477E0F"/>
    <w:rPr>
      <w:rFonts w:cs="Times New Roman"/>
      <w:vertAlign w:val="superscript"/>
    </w:rPr>
  </w:style>
  <w:style w:type="paragraph" w:styleId="FootnoteText">
    <w:name w:val="footnote text"/>
    <w:basedOn w:val="Normal"/>
    <w:link w:val="FootnoteTextChar"/>
    <w:uiPriority w:val="99"/>
    <w:rsid w:val="00477E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77E0F"/>
    <w:rPr>
      <w:rFonts w:ascii="Calibri" w:eastAsia="Calibri" w:hAnsi="Calibri" w:cs="Times New Roman"/>
      <w:sz w:val="20"/>
      <w:szCs w:val="20"/>
    </w:rPr>
  </w:style>
  <w:style w:type="character" w:customStyle="1" w:styleId="apple-converted-space">
    <w:name w:val="apple-converted-space"/>
    <w:rsid w:val="00477E0F"/>
    <w:rPr>
      <w:rFonts w:cs="Times New Roman"/>
    </w:rPr>
  </w:style>
  <w:style w:type="character" w:styleId="CommentReference">
    <w:name w:val="annotation reference"/>
    <w:basedOn w:val="DefaultParagraphFont"/>
    <w:uiPriority w:val="99"/>
    <w:semiHidden/>
    <w:unhideWhenUsed/>
    <w:rsid w:val="00CA2D93"/>
    <w:rPr>
      <w:sz w:val="16"/>
      <w:szCs w:val="16"/>
    </w:rPr>
  </w:style>
  <w:style w:type="paragraph" w:styleId="CommentText">
    <w:name w:val="annotation text"/>
    <w:basedOn w:val="Normal"/>
    <w:link w:val="CommentTextChar"/>
    <w:uiPriority w:val="99"/>
    <w:unhideWhenUsed/>
    <w:rsid w:val="00CA2D93"/>
    <w:pPr>
      <w:spacing w:line="240" w:lineRule="auto"/>
    </w:pPr>
    <w:rPr>
      <w:sz w:val="20"/>
      <w:szCs w:val="20"/>
    </w:rPr>
  </w:style>
  <w:style w:type="character" w:customStyle="1" w:styleId="CommentTextChar">
    <w:name w:val="Comment Text Char"/>
    <w:basedOn w:val="DefaultParagraphFont"/>
    <w:link w:val="CommentText"/>
    <w:uiPriority w:val="99"/>
    <w:rsid w:val="00CA2D93"/>
    <w:rPr>
      <w:sz w:val="20"/>
      <w:szCs w:val="20"/>
    </w:rPr>
  </w:style>
  <w:style w:type="paragraph" w:styleId="CommentSubject">
    <w:name w:val="annotation subject"/>
    <w:basedOn w:val="CommentText"/>
    <w:next w:val="CommentText"/>
    <w:link w:val="CommentSubjectChar"/>
    <w:uiPriority w:val="99"/>
    <w:semiHidden/>
    <w:unhideWhenUsed/>
    <w:rsid w:val="00CA2D93"/>
    <w:rPr>
      <w:b/>
      <w:bCs/>
    </w:rPr>
  </w:style>
  <w:style w:type="character" w:customStyle="1" w:styleId="CommentSubjectChar">
    <w:name w:val="Comment Subject Char"/>
    <w:basedOn w:val="CommentTextChar"/>
    <w:link w:val="CommentSubject"/>
    <w:uiPriority w:val="99"/>
    <w:semiHidden/>
    <w:rsid w:val="00CA2D93"/>
    <w:rPr>
      <w:b/>
      <w:bCs/>
      <w:sz w:val="20"/>
      <w:szCs w:val="20"/>
    </w:rPr>
  </w:style>
  <w:style w:type="paragraph" w:styleId="BalloonText">
    <w:name w:val="Balloon Text"/>
    <w:basedOn w:val="Normal"/>
    <w:link w:val="BalloonTextChar"/>
    <w:uiPriority w:val="99"/>
    <w:semiHidden/>
    <w:unhideWhenUsed/>
    <w:rsid w:val="00CA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3"/>
    <w:rPr>
      <w:rFonts w:ascii="Tahoma" w:hAnsi="Tahoma" w:cs="Tahoma"/>
      <w:sz w:val="16"/>
      <w:szCs w:val="16"/>
    </w:rPr>
  </w:style>
  <w:style w:type="character" w:styleId="Strong">
    <w:name w:val="Strong"/>
    <w:basedOn w:val="DefaultParagraphFont"/>
    <w:uiPriority w:val="22"/>
    <w:qFormat/>
    <w:rsid w:val="00716929"/>
    <w:rPr>
      <w:b/>
      <w:bCs/>
    </w:rPr>
  </w:style>
  <w:style w:type="table" w:styleId="TableGrid">
    <w:name w:val="Table Grid"/>
    <w:basedOn w:val="TableNormal"/>
    <w:uiPriority w:val="59"/>
    <w:rsid w:val="0048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C66AC"/>
    <w:rPr>
      <w:color w:val="800080" w:themeColor="followedHyperlink"/>
      <w:u w:val="single"/>
    </w:rPr>
  </w:style>
  <w:style w:type="paragraph" w:styleId="NormalWeb">
    <w:name w:val="Normal (Web)"/>
    <w:basedOn w:val="Normal"/>
    <w:uiPriority w:val="99"/>
    <w:semiHidden/>
    <w:unhideWhenUsed/>
    <w:rsid w:val="00AE60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B07"/>
    <w:rPr>
      <w:i/>
      <w:iCs/>
    </w:rPr>
  </w:style>
  <w:style w:type="paragraph" w:customStyle="1" w:styleId="Default">
    <w:name w:val="Default"/>
    <w:rsid w:val="00D4794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D30FB5"/>
  </w:style>
  <w:style w:type="character" w:customStyle="1" w:styleId="Heading3Char">
    <w:name w:val="Heading 3 Char"/>
    <w:basedOn w:val="DefaultParagraphFont"/>
    <w:link w:val="Heading3"/>
    <w:uiPriority w:val="9"/>
    <w:rsid w:val="00213588"/>
    <w:rPr>
      <w:rFonts w:ascii="Times New Roman" w:eastAsia="Times New Roman" w:hAnsi="Times New Roman" w:cs="Times New Roman"/>
      <w:b/>
      <w:bCs/>
      <w:sz w:val="27"/>
      <w:szCs w:val="27"/>
    </w:rPr>
  </w:style>
  <w:style w:type="paragraph" w:styleId="NoSpacing">
    <w:name w:val="No Spacing"/>
    <w:uiPriority w:val="1"/>
    <w:qFormat/>
    <w:rsid w:val="00B84F94"/>
    <w:pPr>
      <w:spacing w:after="0" w:line="240" w:lineRule="auto"/>
    </w:pPr>
  </w:style>
  <w:style w:type="character" w:styleId="FootnoteReference">
    <w:name w:val="footnote reference"/>
    <w:basedOn w:val="DefaultParagraphFont"/>
    <w:uiPriority w:val="99"/>
    <w:semiHidden/>
    <w:unhideWhenUsed/>
    <w:rsid w:val="001D6A78"/>
    <w:rPr>
      <w:vertAlign w:val="superscript"/>
    </w:rPr>
  </w:style>
  <w:style w:type="paragraph" w:styleId="Revision">
    <w:name w:val="Revision"/>
    <w:hidden/>
    <w:uiPriority w:val="99"/>
    <w:semiHidden/>
    <w:rsid w:val="00B666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3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0F"/>
  </w:style>
  <w:style w:type="paragraph" w:styleId="Footer">
    <w:name w:val="footer"/>
    <w:basedOn w:val="Normal"/>
    <w:link w:val="FooterChar"/>
    <w:uiPriority w:val="99"/>
    <w:unhideWhenUsed/>
    <w:rsid w:val="0047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0F"/>
  </w:style>
  <w:style w:type="paragraph" w:styleId="ListParagraph">
    <w:name w:val="List Paragraph"/>
    <w:basedOn w:val="Normal"/>
    <w:link w:val="ListParagraphChar"/>
    <w:uiPriority w:val="34"/>
    <w:qFormat/>
    <w:rsid w:val="00477E0F"/>
    <w:pPr>
      <w:ind w:left="720"/>
      <w:contextualSpacing/>
    </w:pPr>
  </w:style>
  <w:style w:type="character" w:styleId="Hyperlink">
    <w:name w:val="Hyperlink"/>
    <w:uiPriority w:val="99"/>
    <w:rsid w:val="00477E0F"/>
    <w:rPr>
      <w:color w:val="0000FF"/>
      <w:u w:val="single"/>
    </w:rPr>
  </w:style>
  <w:style w:type="paragraph" w:customStyle="1" w:styleId="BasicParagraph">
    <w:name w:val="[Basic Paragraph]"/>
    <w:basedOn w:val="Normal"/>
    <w:uiPriority w:val="99"/>
    <w:rsid w:val="00477E0F"/>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styleId="EndnoteText">
    <w:name w:val="endnote text"/>
    <w:basedOn w:val="Normal"/>
    <w:link w:val="EndnoteTextChar"/>
    <w:uiPriority w:val="99"/>
    <w:rsid w:val="00477E0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477E0F"/>
    <w:rPr>
      <w:rFonts w:ascii="Calibri" w:eastAsia="Calibri" w:hAnsi="Calibri" w:cs="Times New Roman"/>
      <w:sz w:val="20"/>
      <w:szCs w:val="20"/>
    </w:rPr>
  </w:style>
  <w:style w:type="character" w:styleId="EndnoteReference">
    <w:name w:val="endnote reference"/>
    <w:uiPriority w:val="99"/>
    <w:rsid w:val="00477E0F"/>
    <w:rPr>
      <w:rFonts w:cs="Times New Roman"/>
      <w:vertAlign w:val="superscript"/>
    </w:rPr>
  </w:style>
  <w:style w:type="paragraph" w:styleId="FootnoteText">
    <w:name w:val="footnote text"/>
    <w:basedOn w:val="Normal"/>
    <w:link w:val="FootnoteTextChar"/>
    <w:uiPriority w:val="99"/>
    <w:rsid w:val="00477E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77E0F"/>
    <w:rPr>
      <w:rFonts w:ascii="Calibri" w:eastAsia="Calibri" w:hAnsi="Calibri" w:cs="Times New Roman"/>
      <w:sz w:val="20"/>
      <w:szCs w:val="20"/>
    </w:rPr>
  </w:style>
  <w:style w:type="character" w:customStyle="1" w:styleId="apple-converted-space">
    <w:name w:val="apple-converted-space"/>
    <w:rsid w:val="00477E0F"/>
    <w:rPr>
      <w:rFonts w:cs="Times New Roman"/>
    </w:rPr>
  </w:style>
  <w:style w:type="character" w:styleId="CommentReference">
    <w:name w:val="annotation reference"/>
    <w:basedOn w:val="DefaultParagraphFont"/>
    <w:uiPriority w:val="99"/>
    <w:semiHidden/>
    <w:unhideWhenUsed/>
    <w:rsid w:val="00CA2D93"/>
    <w:rPr>
      <w:sz w:val="16"/>
      <w:szCs w:val="16"/>
    </w:rPr>
  </w:style>
  <w:style w:type="paragraph" w:styleId="CommentText">
    <w:name w:val="annotation text"/>
    <w:basedOn w:val="Normal"/>
    <w:link w:val="CommentTextChar"/>
    <w:uiPriority w:val="99"/>
    <w:unhideWhenUsed/>
    <w:rsid w:val="00CA2D93"/>
    <w:pPr>
      <w:spacing w:line="240" w:lineRule="auto"/>
    </w:pPr>
    <w:rPr>
      <w:sz w:val="20"/>
      <w:szCs w:val="20"/>
    </w:rPr>
  </w:style>
  <w:style w:type="character" w:customStyle="1" w:styleId="CommentTextChar">
    <w:name w:val="Comment Text Char"/>
    <w:basedOn w:val="DefaultParagraphFont"/>
    <w:link w:val="CommentText"/>
    <w:uiPriority w:val="99"/>
    <w:rsid w:val="00CA2D93"/>
    <w:rPr>
      <w:sz w:val="20"/>
      <w:szCs w:val="20"/>
    </w:rPr>
  </w:style>
  <w:style w:type="paragraph" w:styleId="CommentSubject">
    <w:name w:val="annotation subject"/>
    <w:basedOn w:val="CommentText"/>
    <w:next w:val="CommentText"/>
    <w:link w:val="CommentSubjectChar"/>
    <w:uiPriority w:val="99"/>
    <w:semiHidden/>
    <w:unhideWhenUsed/>
    <w:rsid w:val="00CA2D93"/>
    <w:rPr>
      <w:b/>
      <w:bCs/>
    </w:rPr>
  </w:style>
  <w:style w:type="character" w:customStyle="1" w:styleId="CommentSubjectChar">
    <w:name w:val="Comment Subject Char"/>
    <w:basedOn w:val="CommentTextChar"/>
    <w:link w:val="CommentSubject"/>
    <w:uiPriority w:val="99"/>
    <w:semiHidden/>
    <w:rsid w:val="00CA2D93"/>
    <w:rPr>
      <w:b/>
      <w:bCs/>
      <w:sz w:val="20"/>
      <w:szCs w:val="20"/>
    </w:rPr>
  </w:style>
  <w:style w:type="paragraph" w:styleId="BalloonText">
    <w:name w:val="Balloon Text"/>
    <w:basedOn w:val="Normal"/>
    <w:link w:val="BalloonTextChar"/>
    <w:uiPriority w:val="99"/>
    <w:semiHidden/>
    <w:unhideWhenUsed/>
    <w:rsid w:val="00CA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3"/>
    <w:rPr>
      <w:rFonts w:ascii="Tahoma" w:hAnsi="Tahoma" w:cs="Tahoma"/>
      <w:sz w:val="16"/>
      <w:szCs w:val="16"/>
    </w:rPr>
  </w:style>
  <w:style w:type="character" w:styleId="Strong">
    <w:name w:val="Strong"/>
    <w:basedOn w:val="DefaultParagraphFont"/>
    <w:uiPriority w:val="22"/>
    <w:qFormat/>
    <w:rsid w:val="00716929"/>
    <w:rPr>
      <w:b/>
      <w:bCs/>
    </w:rPr>
  </w:style>
  <w:style w:type="table" w:styleId="TableGrid">
    <w:name w:val="Table Grid"/>
    <w:basedOn w:val="TableNormal"/>
    <w:uiPriority w:val="59"/>
    <w:rsid w:val="0048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C66AC"/>
    <w:rPr>
      <w:color w:val="800080" w:themeColor="followedHyperlink"/>
      <w:u w:val="single"/>
    </w:rPr>
  </w:style>
  <w:style w:type="paragraph" w:styleId="NormalWeb">
    <w:name w:val="Normal (Web)"/>
    <w:basedOn w:val="Normal"/>
    <w:uiPriority w:val="99"/>
    <w:semiHidden/>
    <w:unhideWhenUsed/>
    <w:rsid w:val="00AE60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B07"/>
    <w:rPr>
      <w:i/>
      <w:iCs/>
    </w:rPr>
  </w:style>
  <w:style w:type="paragraph" w:customStyle="1" w:styleId="Default">
    <w:name w:val="Default"/>
    <w:rsid w:val="00D4794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D30FB5"/>
  </w:style>
  <w:style w:type="character" w:customStyle="1" w:styleId="Heading3Char">
    <w:name w:val="Heading 3 Char"/>
    <w:basedOn w:val="DefaultParagraphFont"/>
    <w:link w:val="Heading3"/>
    <w:uiPriority w:val="9"/>
    <w:rsid w:val="00213588"/>
    <w:rPr>
      <w:rFonts w:ascii="Times New Roman" w:eastAsia="Times New Roman" w:hAnsi="Times New Roman" w:cs="Times New Roman"/>
      <w:b/>
      <w:bCs/>
      <w:sz w:val="27"/>
      <w:szCs w:val="27"/>
    </w:rPr>
  </w:style>
  <w:style w:type="paragraph" w:styleId="NoSpacing">
    <w:name w:val="No Spacing"/>
    <w:uiPriority w:val="1"/>
    <w:qFormat/>
    <w:rsid w:val="00B84F94"/>
    <w:pPr>
      <w:spacing w:after="0" w:line="240" w:lineRule="auto"/>
    </w:pPr>
  </w:style>
  <w:style w:type="character" w:styleId="FootnoteReference">
    <w:name w:val="footnote reference"/>
    <w:basedOn w:val="DefaultParagraphFont"/>
    <w:uiPriority w:val="99"/>
    <w:semiHidden/>
    <w:unhideWhenUsed/>
    <w:rsid w:val="001D6A78"/>
    <w:rPr>
      <w:vertAlign w:val="superscript"/>
    </w:rPr>
  </w:style>
  <w:style w:type="paragraph" w:styleId="Revision">
    <w:name w:val="Revision"/>
    <w:hidden/>
    <w:uiPriority w:val="99"/>
    <w:semiHidden/>
    <w:rsid w:val="00B66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4475">
      <w:bodyDiv w:val="1"/>
      <w:marLeft w:val="0"/>
      <w:marRight w:val="0"/>
      <w:marTop w:val="0"/>
      <w:marBottom w:val="0"/>
      <w:divBdr>
        <w:top w:val="none" w:sz="0" w:space="0" w:color="auto"/>
        <w:left w:val="none" w:sz="0" w:space="0" w:color="auto"/>
        <w:bottom w:val="none" w:sz="0" w:space="0" w:color="auto"/>
        <w:right w:val="none" w:sz="0" w:space="0" w:color="auto"/>
      </w:divBdr>
    </w:div>
    <w:div w:id="560747728">
      <w:bodyDiv w:val="1"/>
      <w:marLeft w:val="0"/>
      <w:marRight w:val="0"/>
      <w:marTop w:val="0"/>
      <w:marBottom w:val="0"/>
      <w:divBdr>
        <w:top w:val="none" w:sz="0" w:space="0" w:color="auto"/>
        <w:left w:val="none" w:sz="0" w:space="0" w:color="auto"/>
        <w:bottom w:val="none" w:sz="0" w:space="0" w:color="auto"/>
        <w:right w:val="none" w:sz="0" w:space="0" w:color="auto"/>
      </w:divBdr>
    </w:div>
    <w:div w:id="1011833930">
      <w:bodyDiv w:val="1"/>
      <w:marLeft w:val="0"/>
      <w:marRight w:val="0"/>
      <w:marTop w:val="0"/>
      <w:marBottom w:val="0"/>
      <w:divBdr>
        <w:top w:val="none" w:sz="0" w:space="0" w:color="auto"/>
        <w:left w:val="none" w:sz="0" w:space="0" w:color="auto"/>
        <w:bottom w:val="none" w:sz="0" w:space="0" w:color="auto"/>
        <w:right w:val="none" w:sz="0" w:space="0" w:color="auto"/>
      </w:divBdr>
    </w:div>
    <w:div w:id="1022321851">
      <w:bodyDiv w:val="1"/>
      <w:marLeft w:val="0"/>
      <w:marRight w:val="0"/>
      <w:marTop w:val="0"/>
      <w:marBottom w:val="0"/>
      <w:divBdr>
        <w:top w:val="none" w:sz="0" w:space="0" w:color="auto"/>
        <w:left w:val="none" w:sz="0" w:space="0" w:color="auto"/>
        <w:bottom w:val="none" w:sz="0" w:space="0" w:color="auto"/>
        <w:right w:val="none" w:sz="0" w:space="0" w:color="auto"/>
      </w:divBdr>
    </w:div>
    <w:div w:id="1115903030">
      <w:bodyDiv w:val="1"/>
      <w:marLeft w:val="0"/>
      <w:marRight w:val="0"/>
      <w:marTop w:val="0"/>
      <w:marBottom w:val="0"/>
      <w:divBdr>
        <w:top w:val="none" w:sz="0" w:space="0" w:color="auto"/>
        <w:left w:val="none" w:sz="0" w:space="0" w:color="auto"/>
        <w:bottom w:val="none" w:sz="0" w:space="0" w:color="auto"/>
        <w:right w:val="none" w:sz="0" w:space="0" w:color="auto"/>
      </w:divBdr>
    </w:div>
    <w:div w:id="1299844774">
      <w:bodyDiv w:val="1"/>
      <w:marLeft w:val="0"/>
      <w:marRight w:val="0"/>
      <w:marTop w:val="0"/>
      <w:marBottom w:val="0"/>
      <w:divBdr>
        <w:top w:val="none" w:sz="0" w:space="0" w:color="auto"/>
        <w:left w:val="none" w:sz="0" w:space="0" w:color="auto"/>
        <w:bottom w:val="none" w:sz="0" w:space="0" w:color="auto"/>
        <w:right w:val="none" w:sz="0" w:space="0" w:color="auto"/>
      </w:divBdr>
    </w:div>
    <w:div w:id="1597589108">
      <w:bodyDiv w:val="1"/>
      <w:marLeft w:val="0"/>
      <w:marRight w:val="0"/>
      <w:marTop w:val="0"/>
      <w:marBottom w:val="0"/>
      <w:divBdr>
        <w:top w:val="none" w:sz="0" w:space="0" w:color="auto"/>
        <w:left w:val="none" w:sz="0" w:space="0" w:color="auto"/>
        <w:bottom w:val="none" w:sz="0" w:space="0" w:color="auto"/>
        <w:right w:val="none" w:sz="0" w:space="0" w:color="auto"/>
      </w:divBdr>
    </w:div>
    <w:div w:id="19843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americansfortaxfairness.org/files/ATF-Post-Fiscal-Cliff-Poll-Toplines-Public-01-13.pdf" TargetMode="External"/><Relationship Id="rId3" Type="http://schemas.openxmlformats.org/officeDocument/2006/relationships/styles" Target="styles.xml"/><Relationship Id="rId21" Type="http://schemas.openxmlformats.org/officeDocument/2006/relationships/hyperlink" Target="http://www.americansfortaxfairness.org/files/ATF-Post-Fiscal-Cliff-Poll-Toplines-Public-01-13.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mericansfortaxfairness.org/files/ATF-Post-Fiscal-Cliff-Poll-Toplines-Public-01-13.pdf" TargetMode="External"/><Relationship Id="rId2" Type="http://schemas.openxmlformats.org/officeDocument/2006/relationships/numbering" Target="numbering.xml"/><Relationship Id="rId16" Type="http://schemas.openxmlformats.org/officeDocument/2006/relationships/hyperlink" Target="http://www.americansfortaxfairness.org/files/ATF-Post-Fiscal-Cliff-Poll-Toplines-Public-01-13.pdf" TargetMode="External"/><Relationship Id="rId20" Type="http://schemas.openxmlformats.org/officeDocument/2006/relationships/hyperlink" Target="http://www.americansfortaxfairness.org/files/ATF-Post-Fiscal-Cliff-Poll-Toplines-Public-01-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ericansfortaxfairness.org/files/ATF-Post-Fiscal-Cliff-Poll-Toplines-Public-01-13.pdf" TargetMode="External"/><Relationship Id="rId23" Type="http://schemas.openxmlformats.org/officeDocument/2006/relationships/fontTable" Target="fontTable.xml"/><Relationship Id="rId10" Type="http://schemas.openxmlformats.org/officeDocument/2006/relationships/hyperlink" Target="http://www.americansfortaxfairness.org/files/Hart-Memo-on-Fiscal-Cliff-Poll-Hill.pdf" TargetMode="External"/><Relationship Id="rId19" Type="http://schemas.openxmlformats.org/officeDocument/2006/relationships/hyperlink" Target="http://www.americansfortaxfairness.org/files/ATF-Post-Fiscal-Cliff-Poll-Toplines-Public-01-1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ericansfortaxfairness.org/files/ATF-Post-Fiscal-Cliff-Poll-Toplines-Public-01-13.pdf" TargetMode="External"/><Relationship Id="rId22" Type="http://schemas.openxmlformats.org/officeDocument/2006/relationships/hyperlink" Target="http://www.americansfortaxfairness.org/files/ATF-Post-Fiscal-Cliff-Poll-Toplines-Public-01-13.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wyden.senate.gov/download/joint-committee-on-taxation-estimated-score-of-the-bipartisan-tax-fairness-and-simplification-act-of-2010" TargetMode="External"/><Relationship Id="rId13" Type="http://schemas.openxmlformats.org/officeDocument/2006/relationships/hyperlink" Target="http://www.levin.senate.gov/newsroom/press/release/levin-brown-bill-would-end-corporate-stock-option-tax-break-reduce-deficit-by-25-billion" TargetMode="External"/><Relationship Id="rId18" Type="http://schemas.openxmlformats.org/officeDocument/2006/relationships/hyperlink" Target="https://www.jct.gov/publications.html?func=startdown&amp;id=4503" TargetMode="External"/><Relationship Id="rId26" Type="http://schemas.openxmlformats.org/officeDocument/2006/relationships/hyperlink" Target="https://www.jct.gov/publications.html?func=startdown&amp;id=4492" TargetMode="External"/><Relationship Id="rId39" Type="http://schemas.openxmlformats.org/officeDocument/2006/relationships/hyperlink" Target="https://www.jct.gov/publications.html?func=startdown&amp;id=4413" TargetMode="External"/><Relationship Id="rId3" Type="http://schemas.openxmlformats.org/officeDocument/2006/relationships/hyperlink" Target="http://www.cbo.gov/publication/43373" TargetMode="External"/><Relationship Id="rId21" Type="http://schemas.openxmlformats.org/officeDocument/2006/relationships/hyperlink" Target="http://www.taxpolicycenter.org/UploadedPDF/1001585-TN-health-reform-investment-facts-myths.pdf" TargetMode="External"/><Relationship Id="rId34" Type="http://schemas.openxmlformats.org/officeDocument/2006/relationships/hyperlink" Target="https://www.jct.gov/publications.html?func=startdown&amp;id=4413" TargetMode="External"/><Relationship Id="rId42" Type="http://schemas.openxmlformats.org/officeDocument/2006/relationships/hyperlink" Target="http://www.whitehouse.gov/sites/default/files/Buffett_Rule_Report_Final.pdf" TargetMode="External"/><Relationship Id="rId7" Type="http://schemas.openxmlformats.org/officeDocument/2006/relationships/hyperlink" Target="http://ctj.org/pdf/workingpapertaxreform.pdf" TargetMode="External"/><Relationship Id="rId12" Type="http://schemas.openxmlformats.org/officeDocument/2006/relationships/hyperlink" Target="http://www.bloomberg.com/energy/" TargetMode="External"/><Relationship Id="rId17" Type="http://schemas.openxmlformats.org/officeDocument/2006/relationships/hyperlink" Target="http://www.cbpp.org/files/9-19-12tax.pdf" TargetMode="External"/><Relationship Id="rId25" Type="http://schemas.openxmlformats.org/officeDocument/2006/relationships/hyperlink" Target="https://www.jct.gov/publications.html?func=startdown&amp;id=4497" TargetMode="External"/><Relationship Id="rId33" Type="http://schemas.openxmlformats.org/officeDocument/2006/relationships/hyperlink" Target="http://ctj.org/pdf/workingpapertaxreform.pdf" TargetMode="External"/><Relationship Id="rId38" Type="http://schemas.openxmlformats.org/officeDocument/2006/relationships/hyperlink" Target="http://www.nytimes.com/2011/08/15/opinion/stop-coddling-the-super-rich.html?_r=0" TargetMode="External"/><Relationship Id="rId2" Type="http://schemas.openxmlformats.org/officeDocument/2006/relationships/hyperlink" Target="http://www.americansfortaxfairness.org/files/Hart-Memo-on-Fiscal-Cliff-Poll-Hill.pdf" TargetMode="External"/><Relationship Id="rId16" Type="http://schemas.openxmlformats.org/officeDocument/2006/relationships/hyperlink" Target="http://blogs.reuters.com/lawrencesummers/2012/12/17/how-to-target-untaxed-wealth/" TargetMode="External"/><Relationship Id="rId20" Type="http://schemas.openxmlformats.org/officeDocument/2006/relationships/hyperlink" Target="http://www.taxpolicycenter.org/numbers/Content/PDF/T09-0492.pdf" TargetMode="External"/><Relationship Id="rId29" Type="http://schemas.openxmlformats.org/officeDocument/2006/relationships/hyperlink" Target="http://www.cbo.gov/sites/default/files/cbofiles/ftpdocs/120xx/doc12085/03-10-reducingthedeficit.pdf" TargetMode="External"/><Relationship Id="rId41" Type="http://schemas.openxmlformats.org/officeDocument/2006/relationships/hyperlink" Target="http://stateofworkingamerica.org/subjects/wealth/?reader" TargetMode="External"/><Relationship Id="rId1" Type="http://schemas.openxmlformats.org/officeDocument/2006/relationships/hyperlink" Target="http://www.cbpp.org/cms/index.cfm?fa=view&amp;id=3885" TargetMode="External"/><Relationship Id="rId6" Type="http://schemas.openxmlformats.org/officeDocument/2006/relationships/hyperlink" Target="http://www.taxanalysts.com/www/website.nsf/Web/HomePage/$file/clausing.pdf" TargetMode="External"/><Relationship Id="rId11" Type="http://schemas.openxmlformats.org/officeDocument/2006/relationships/hyperlink" Target="https://www.jct.gov/publications.html?func=startdown&amp;id=4413" TargetMode="External"/><Relationship Id="rId24" Type="http://schemas.openxmlformats.org/officeDocument/2006/relationships/hyperlink" Target="https://www.jct.gov/publications.html?func=startdown&amp;id=4496" TargetMode="External"/><Relationship Id="rId32" Type="http://schemas.openxmlformats.org/officeDocument/2006/relationships/hyperlink" Target="http://www.whitehouse.senate.gov/download/?id=4eef46c6-bc42-4a7b-93d1-ac03fce3ffc4" TargetMode="External"/><Relationship Id="rId37" Type="http://schemas.openxmlformats.org/officeDocument/2006/relationships/hyperlink" Target="http://www.fiscalcommission.gov/sites/fiscalcommission.gov/files/documents/TheMomentofTruth12_1_2010.pdf" TargetMode="External"/><Relationship Id="rId40" Type="http://schemas.openxmlformats.org/officeDocument/2006/relationships/hyperlink" Target="http://www.ctj.org/pdf/regcg.pdf" TargetMode="External"/><Relationship Id="rId5" Type="http://schemas.openxmlformats.org/officeDocument/2006/relationships/hyperlink" Target="http://www.cbo.gov/sites/default/files/cbofiles/attachments/43764-MultinationalTaxes.pdf" TargetMode="External"/><Relationship Id="rId15" Type="http://schemas.openxmlformats.org/officeDocument/2006/relationships/hyperlink" Target="http://ctj.org/pdf/workingpapertaxreform.pdf" TargetMode="External"/><Relationship Id="rId23" Type="http://schemas.openxmlformats.org/officeDocument/2006/relationships/hyperlink" Target="http://www.taxpolicycenter.org/numbers/Content/PDF/T13-0019.pdf" TargetMode="External"/><Relationship Id="rId28" Type="http://schemas.openxmlformats.org/officeDocument/2006/relationships/hyperlink" Target="http://www.treasury.gov/resource-center/tax-policy/Documents/General-Explanations-FY2013.pdf" TargetMode="External"/><Relationship Id="rId36" Type="http://schemas.openxmlformats.org/officeDocument/2006/relationships/hyperlink" Target="http://crfb.org/sites/default/files/health_and_revenue_savings_0.pdf" TargetMode="External"/><Relationship Id="rId10" Type="http://schemas.openxmlformats.org/officeDocument/2006/relationships/hyperlink" Target="http://ctj.org/pdf/revenueraisers2012.pdf" TargetMode="External"/><Relationship Id="rId19" Type="http://schemas.openxmlformats.org/officeDocument/2006/relationships/hyperlink" Target="http://www.taxpolicycenter.org/numbers/displayatab.cfm?Docid=2846&amp;DocTypeID=2" TargetMode="External"/><Relationship Id="rId31" Type="http://schemas.openxmlformats.org/officeDocument/2006/relationships/hyperlink" Target="http://professional.wsj.com/article/SB10001424052970204062704577223682180407266.html?mg=reno64-wsj" TargetMode="External"/><Relationship Id="rId44" Type="http://schemas.openxmlformats.org/officeDocument/2006/relationships/hyperlink" Target="http://www.taxpolicycenter.org/numbers/Content/PDF/T11-0369.pdf" TargetMode="External"/><Relationship Id="rId4" Type="http://schemas.openxmlformats.org/officeDocument/2006/relationships/hyperlink" Target="http://www.whitehouse.gov/omb/budget/Historicals" TargetMode="External"/><Relationship Id="rId9" Type="http://schemas.openxmlformats.org/officeDocument/2006/relationships/hyperlink" Target="http://www.treasury.gov/resource-center/tax-policy/Documents/The-Presidents-Framework-for-Business-Tax-Reform-02-22-2012.pdf" TargetMode="External"/><Relationship Id="rId14" Type="http://schemas.openxmlformats.org/officeDocument/2006/relationships/hyperlink" Target="http://www.epi.org/publication/taxes-executive-compensation/" TargetMode="External"/><Relationship Id="rId22" Type="http://schemas.openxmlformats.org/officeDocument/2006/relationships/hyperlink" Target="http://ctj.org/pdf/revenueraisers2012.pdf" TargetMode="External"/><Relationship Id="rId27" Type="http://schemas.openxmlformats.org/officeDocument/2006/relationships/hyperlink" Target="http://www.americanprogress.org/issues/tax-reform/news/2013/01/24/50457/loopholes-in-the-estate-tax-show-why-revenue-must-be-on-the-table/" TargetMode="External"/><Relationship Id="rId30" Type="http://schemas.openxmlformats.org/officeDocument/2006/relationships/hyperlink" Target="http://online.wsj.com/article/SB10001424052748703435104575421411449555240.html" TargetMode="External"/><Relationship Id="rId35" Type="http://schemas.openxmlformats.org/officeDocument/2006/relationships/hyperlink" Target="http://www.accountingtoday.com/news/Lawmaker-Introduces-Bill-Close-Newt-Gingrich-Medicare-Tax-Loophole-61568-1.html" TargetMode="External"/><Relationship Id="rId43" Type="http://schemas.openxmlformats.org/officeDocument/2006/relationships/hyperlink" Target="http://www.cbo.gov/sites/default/files/cbofiles/attachments/s16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CC0C-3A7B-410D-AC4B-4187743E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Entmacher, Joan</dc:creator>
  <cp:lastModifiedBy>Frank</cp:lastModifiedBy>
  <cp:revision>5</cp:revision>
  <cp:lastPrinted>2013-02-11T07:46:00Z</cp:lastPrinted>
  <dcterms:created xsi:type="dcterms:W3CDTF">2013-02-15T09:45:00Z</dcterms:created>
  <dcterms:modified xsi:type="dcterms:W3CDTF">2013-07-02T06:04:00Z</dcterms:modified>
</cp:coreProperties>
</file>