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B22B6" w14:textId="77777777" w:rsidR="006571E4" w:rsidRDefault="00A94052">
      <w:pPr>
        <w:rPr>
          <w:rFonts w:ascii="Helvetica" w:hAnsi="Helvetica"/>
          <w:b/>
          <w:noProof/>
          <w:color w:val="000000"/>
          <w:sz w:val="52"/>
        </w:rPr>
      </w:pPr>
      <w:bookmarkStart w:id="0" w:name="_GoBack"/>
      <w:bookmarkEnd w:id="0"/>
      <w:r>
        <w:rPr>
          <w:noProof/>
        </w:rPr>
        <w:drawing>
          <wp:anchor distT="0" distB="0" distL="114300" distR="114300" simplePos="0" relativeHeight="251657728" behindDoc="0" locked="0" layoutInCell="1" allowOverlap="1" wp14:anchorId="1D7B5188" wp14:editId="1EF38149">
            <wp:simplePos x="0" y="0"/>
            <wp:positionH relativeFrom="column">
              <wp:align>center</wp:align>
            </wp:positionH>
            <wp:positionV relativeFrom="page">
              <wp:posOffset>495300</wp:posOffset>
            </wp:positionV>
            <wp:extent cx="7772400" cy="905510"/>
            <wp:effectExtent l="0" t="0" r="0" b="8890"/>
            <wp:wrapNone/>
            <wp:docPr id="15" name="Picture 15" descr="Letter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Letterhead"/>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905510"/>
                    </a:xfrm>
                    <a:prstGeom prst="rect">
                      <a:avLst/>
                    </a:prstGeom>
                    <a:noFill/>
                  </pic:spPr>
                </pic:pic>
              </a:graphicData>
            </a:graphic>
            <wp14:sizeRelH relativeFrom="page">
              <wp14:pctWidth>0</wp14:pctWidth>
            </wp14:sizeRelH>
            <wp14:sizeRelV relativeFrom="page">
              <wp14:pctHeight>0</wp14:pctHeight>
            </wp14:sizeRelV>
          </wp:anchor>
        </w:drawing>
      </w:r>
    </w:p>
    <w:p w14:paraId="418F58FD" w14:textId="77777777" w:rsidR="006571E4" w:rsidRDefault="006571E4">
      <w:pPr>
        <w:rPr>
          <w:rFonts w:ascii="Helvetica" w:hAnsi="Helvetica"/>
          <w:b/>
          <w:noProof/>
          <w:color w:val="000000"/>
          <w:sz w:val="52"/>
        </w:rPr>
      </w:pPr>
    </w:p>
    <w:p w14:paraId="3355B695" w14:textId="77777777" w:rsidR="009A6E8D" w:rsidRPr="00AE1C15" w:rsidRDefault="009A6E8D" w:rsidP="009A6E8D">
      <w:pPr>
        <w:jc w:val="center"/>
        <w:rPr>
          <w:rFonts w:ascii="Calibri" w:hAnsi="Calibri" w:cs="Calibri"/>
          <w:b/>
          <w:color w:val="0477AE"/>
          <w:sz w:val="36"/>
          <w:szCs w:val="36"/>
        </w:rPr>
      </w:pPr>
      <w:r w:rsidRPr="00AE1C15">
        <w:rPr>
          <w:rFonts w:ascii="Calibri" w:hAnsi="Calibri" w:cs="Calibri"/>
          <w:b/>
          <w:color w:val="0477AE"/>
          <w:sz w:val="36"/>
          <w:szCs w:val="36"/>
        </w:rPr>
        <w:t xml:space="preserve">STRETCHED TO THE LIMIT: A SAMPLING OF TAX EXTENDERS THAT SHOULD BE ENDED (OR SUBSTANTIALLY REFORMED)  </w:t>
      </w:r>
    </w:p>
    <w:p w14:paraId="7A4A2F58" w14:textId="77777777" w:rsidR="009A6E8D" w:rsidRPr="00AE1C15" w:rsidRDefault="009A6E8D" w:rsidP="009A6E8D">
      <w:pPr>
        <w:rPr>
          <w:rFonts w:ascii="Calibri" w:hAnsi="Calibri"/>
          <w:sz w:val="32"/>
          <w:szCs w:val="32"/>
        </w:rPr>
      </w:pPr>
    </w:p>
    <w:p w14:paraId="0B072C2C" w14:textId="41020770" w:rsidR="009A6E8D" w:rsidRPr="00AE1C15" w:rsidRDefault="009A6E8D" w:rsidP="009A6E8D">
      <w:pPr>
        <w:rPr>
          <w:rFonts w:ascii="Calibri" w:hAnsi="Calibri"/>
          <w:szCs w:val="24"/>
        </w:rPr>
      </w:pPr>
      <w:r w:rsidRPr="00AE1C15">
        <w:rPr>
          <w:rFonts w:ascii="Calibri" w:hAnsi="Calibri"/>
          <w:szCs w:val="24"/>
        </w:rPr>
        <w:t xml:space="preserve">Congress is considering whether to renew </w:t>
      </w:r>
      <w:r w:rsidR="004332AD">
        <w:rPr>
          <w:rFonts w:ascii="Calibri" w:hAnsi="Calibri"/>
          <w:szCs w:val="24"/>
        </w:rPr>
        <w:t xml:space="preserve">55 </w:t>
      </w:r>
      <w:r w:rsidRPr="00AE1C15">
        <w:rPr>
          <w:rFonts w:ascii="Calibri" w:hAnsi="Calibri"/>
          <w:szCs w:val="24"/>
        </w:rPr>
        <w:t>temporary tax breaks – known as tax extenders – that expired at the end of 2013. The cost of renewing these tax breaks is a staggering $4</w:t>
      </w:r>
      <w:r w:rsidR="004332AD">
        <w:rPr>
          <w:rFonts w:ascii="Calibri" w:hAnsi="Calibri"/>
          <w:szCs w:val="24"/>
        </w:rPr>
        <w:t>1</w:t>
      </w:r>
      <w:r w:rsidRPr="00AE1C15">
        <w:rPr>
          <w:rFonts w:ascii="Calibri" w:hAnsi="Calibri"/>
          <w:szCs w:val="24"/>
        </w:rPr>
        <w:t xml:space="preserve">0 billion </w:t>
      </w:r>
      <w:r w:rsidR="007D5368">
        <w:rPr>
          <w:rFonts w:ascii="Calibri" w:hAnsi="Calibri"/>
          <w:szCs w:val="24"/>
        </w:rPr>
        <w:t>to $</w:t>
      </w:r>
      <w:r w:rsidR="004332AD">
        <w:rPr>
          <w:rFonts w:ascii="Calibri" w:hAnsi="Calibri"/>
          <w:szCs w:val="24"/>
        </w:rPr>
        <w:t>690</w:t>
      </w:r>
      <w:r w:rsidR="007D5368">
        <w:rPr>
          <w:rFonts w:ascii="Calibri" w:hAnsi="Calibri"/>
          <w:szCs w:val="24"/>
        </w:rPr>
        <w:t xml:space="preserve"> billion </w:t>
      </w:r>
      <w:r w:rsidRPr="00AE1C15">
        <w:rPr>
          <w:rFonts w:ascii="Calibri" w:hAnsi="Calibri"/>
          <w:szCs w:val="24"/>
        </w:rPr>
        <w:t xml:space="preserve">over 10 years, according to the </w:t>
      </w:r>
      <w:hyperlink r:id="rId9" w:history="1">
        <w:r w:rsidRPr="00AE1C15">
          <w:rPr>
            <w:rStyle w:val="Hyperlink"/>
            <w:rFonts w:ascii="Calibri" w:hAnsi="Calibri"/>
            <w:color w:val="0070C0"/>
          </w:rPr>
          <w:t>Congressional Budget Office</w:t>
        </w:r>
      </w:hyperlink>
      <w:r w:rsidRPr="00AE1C15">
        <w:rPr>
          <w:rFonts w:ascii="Calibri" w:hAnsi="Calibri"/>
          <w:szCs w:val="24"/>
        </w:rPr>
        <w:t xml:space="preserve"> (CBO), or $4</w:t>
      </w:r>
      <w:r w:rsidR="004332AD">
        <w:rPr>
          <w:rFonts w:ascii="Calibri" w:hAnsi="Calibri"/>
          <w:szCs w:val="24"/>
        </w:rPr>
        <w:t>0</w:t>
      </w:r>
      <w:r w:rsidRPr="00AE1C15">
        <w:rPr>
          <w:rFonts w:ascii="Calibri" w:hAnsi="Calibri"/>
          <w:szCs w:val="24"/>
        </w:rPr>
        <w:t xml:space="preserve"> </w:t>
      </w:r>
      <w:r w:rsidR="007D5368">
        <w:rPr>
          <w:rFonts w:ascii="Calibri" w:hAnsi="Calibri"/>
          <w:szCs w:val="24"/>
        </w:rPr>
        <w:t xml:space="preserve">billion to $70 </w:t>
      </w:r>
      <w:r w:rsidRPr="00AE1C15">
        <w:rPr>
          <w:rFonts w:ascii="Calibri" w:hAnsi="Calibri"/>
          <w:szCs w:val="24"/>
        </w:rPr>
        <w:t>billion a year.</w:t>
      </w:r>
      <w:r w:rsidRPr="00AE1C15">
        <w:rPr>
          <w:rStyle w:val="EndnoteReference"/>
          <w:rFonts w:ascii="Calibri" w:hAnsi="Calibri"/>
          <w:szCs w:val="24"/>
        </w:rPr>
        <w:endnoteReference w:id="1"/>
      </w:r>
      <w:r w:rsidRPr="00AE1C15">
        <w:rPr>
          <w:rFonts w:ascii="Calibri" w:hAnsi="Calibri"/>
          <w:szCs w:val="24"/>
        </w:rPr>
        <w:t xml:space="preserve"> About </w:t>
      </w:r>
      <w:r w:rsidR="004332AD">
        <w:rPr>
          <w:rFonts w:ascii="Calibri" w:hAnsi="Calibri"/>
          <w:szCs w:val="24"/>
        </w:rPr>
        <w:t>90</w:t>
      </w:r>
      <w:r w:rsidRPr="00AE1C15">
        <w:rPr>
          <w:rFonts w:ascii="Calibri" w:hAnsi="Calibri"/>
          <w:szCs w:val="24"/>
        </w:rPr>
        <w:t xml:space="preserve"> percent o</w:t>
      </w:r>
      <w:r w:rsidR="007D5368">
        <w:rPr>
          <w:rFonts w:ascii="Calibri" w:hAnsi="Calibri"/>
          <w:szCs w:val="24"/>
        </w:rPr>
        <w:t xml:space="preserve">f the cost of these tax breaks </w:t>
      </w:r>
      <w:r w:rsidRPr="00AE1C15">
        <w:rPr>
          <w:rFonts w:ascii="Calibri" w:hAnsi="Calibri"/>
          <w:szCs w:val="24"/>
        </w:rPr>
        <w:t>benefit</w:t>
      </w:r>
      <w:r w:rsidR="000076FA">
        <w:rPr>
          <w:rFonts w:ascii="Calibri" w:hAnsi="Calibri"/>
          <w:szCs w:val="24"/>
        </w:rPr>
        <w:t>s</w:t>
      </w:r>
      <w:r w:rsidRPr="00AE1C15">
        <w:rPr>
          <w:rFonts w:ascii="Calibri" w:hAnsi="Calibri"/>
          <w:szCs w:val="24"/>
        </w:rPr>
        <w:t xml:space="preserve"> corporations. </w:t>
      </w:r>
    </w:p>
    <w:p w14:paraId="2D36485C" w14:textId="77777777" w:rsidR="009A6E8D" w:rsidRPr="00AE1C15" w:rsidRDefault="009A6E8D" w:rsidP="006C7169">
      <w:pPr>
        <w:rPr>
          <w:rFonts w:ascii="Calibri" w:hAnsi="Calibri"/>
        </w:rPr>
      </w:pPr>
    </w:p>
    <w:p w14:paraId="1682C9FD" w14:textId="1105D5B0" w:rsidR="009A6E8D" w:rsidRPr="00AE1C15" w:rsidRDefault="009A6E8D" w:rsidP="009A6E8D">
      <w:pPr>
        <w:rPr>
          <w:rFonts w:ascii="Calibri" w:hAnsi="Calibri"/>
        </w:rPr>
      </w:pPr>
      <w:r w:rsidRPr="00AE1C15">
        <w:rPr>
          <w:rFonts w:ascii="Calibri" w:hAnsi="Calibri"/>
        </w:rPr>
        <w:t xml:space="preserve">Tax extenders come in different forms and sizes. But the worst ones all share one feature: they exclusively benefit big corporations and wealthy individuals, wasting money that could be used to fix roads, build schools, find medical cures </w:t>
      </w:r>
      <w:r w:rsidR="006D3072">
        <w:rPr>
          <w:rFonts w:ascii="Calibri" w:hAnsi="Calibri"/>
        </w:rPr>
        <w:t>– or reduce the deficit</w:t>
      </w:r>
      <w:r w:rsidR="000076FA">
        <w:rPr>
          <w:rFonts w:ascii="Calibri" w:hAnsi="Calibri"/>
        </w:rPr>
        <w:t xml:space="preserve">.  </w:t>
      </w:r>
      <w:r w:rsidRPr="00AE1C15">
        <w:rPr>
          <w:rFonts w:ascii="Calibri" w:hAnsi="Calibri"/>
        </w:rPr>
        <w:t>Below is a sampling of som</w:t>
      </w:r>
      <w:r w:rsidR="006D3072">
        <w:rPr>
          <w:rFonts w:ascii="Calibri" w:hAnsi="Calibri"/>
        </w:rPr>
        <w:t>e of the worst of these special-</w:t>
      </w:r>
      <w:r w:rsidRPr="00AE1C15">
        <w:rPr>
          <w:rFonts w:ascii="Calibri" w:hAnsi="Calibri"/>
        </w:rPr>
        <w:t>interest tax breaks</w:t>
      </w:r>
      <w:r w:rsidR="000076FA">
        <w:rPr>
          <w:rFonts w:ascii="Calibri" w:hAnsi="Calibri"/>
        </w:rPr>
        <w:t>.</w:t>
      </w:r>
    </w:p>
    <w:p w14:paraId="328BBD36" w14:textId="77777777" w:rsidR="009A6E8D" w:rsidRPr="00AE1C15" w:rsidRDefault="009A6E8D" w:rsidP="009A6E8D">
      <w:pPr>
        <w:rPr>
          <w:rFonts w:ascii="Calibri" w:hAnsi="Calibri"/>
        </w:rPr>
      </w:pPr>
    </w:p>
    <w:p w14:paraId="35E69357" w14:textId="46492D69" w:rsidR="009A6E8D" w:rsidRPr="00AE1C15" w:rsidRDefault="009A6E8D" w:rsidP="006C7169">
      <w:pPr>
        <w:rPr>
          <w:rFonts w:ascii="Calibri" w:hAnsi="Calibri" w:cs="Calibri"/>
          <w:b/>
          <w:color w:val="0477AE"/>
          <w:szCs w:val="24"/>
        </w:rPr>
      </w:pPr>
      <w:r w:rsidRPr="00AE1C15">
        <w:rPr>
          <w:rFonts w:ascii="Calibri" w:hAnsi="Calibri" w:cs="Calibri"/>
          <w:b/>
          <w:color w:val="0477AE"/>
          <w:szCs w:val="24"/>
        </w:rPr>
        <w:t xml:space="preserve">GENERAL ELECTRIC, WALL STREET &amp; THE ACTIVE FINANCING EXCEPTION </w:t>
      </w:r>
    </w:p>
    <w:p w14:paraId="69AF3876" w14:textId="36649EA6" w:rsidR="009A6E8D" w:rsidRPr="00AE1C15" w:rsidRDefault="00A57775" w:rsidP="009A6E8D">
      <w:pPr>
        <w:rPr>
          <w:rFonts w:ascii="Calibri" w:hAnsi="Calibri"/>
        </w:rPr>
      </w:pPr>
      <w:hyperlink r:id="rId10" w:history="1">
        <w:r w:rsidR="009A6E8D" w:rsidRPr="00AE1C15">
          <w:rPr>
            <w:rStyle w:val="Hyperlink"/>
            <w:rFonts w:ascii="Calibri" w:eastAsia="Calibri" w:hAnsi="Calibri"/>
            <w:color w:val="0070C0"/>
            <w:szCs w:val="22"/>
          </w:rPr>
          <w:t>$6</w:t>
        </w:r>
        <w:r w:rsidR="004332AD">
          <w:rPr>
            <w:rStyle w:val="Hyperlink"/>
            <w:rFonts w:ascii="Calibri" w:eastAsia="Calibri" w:hAnsi="Calibri"/>
            <w:color w:val="0070C0"/>
            <w:szCs w:val="22"/>
          </w:rPr>
          <w:t>2.5</w:t>
        </w:r>
        <w:r w:rsidR="009A6E8D" w:rsidRPr="00AE1C15">
          <w:rPr>
            <w:rStyle w:val="Hyperlink"/>
            <w:rFonts w:ascii="Calibri" w:eastAsia="Calibri" w:hAnsi="Calibri"/>
            <w:color w:val="0070C0"/>
            <w:szCs w:val="22"/>
          </w:rPr>
          <w:t xml:space="preserve"> Billion</w:t>
        </w:r>
      </w:hyperlink>
      <w:r w:rsidR="004332AD">
        <w:rPr>
          <w:rStyle w:val="Hyperlink"/>
          <w:rFonts w:ascii="Calibri" w:eastAsia="Calibri" w:hAnsi="Calibri"/>
          <w:color w:val="0070C0"/>
          <w:szCs w:val="22"/>
        </w:rPr>
        <w:t xml:space="preserve"> over 10 years</w:t>
      </w:r>
      <w:r w:rsidR="009A6E8D" w:rsidRPr="00AE1C15">
        <w:rPr>
          <w:rStyle w:val="EndnoteReference"/>
          <w:rFonts w:ascii="Calibri" w:hAnsi="Calibri"/>
        </w:rPr>
        <w:endnoteReference w:id="2"/>
      </w:r>
      <w:r w:rsidR="009A6E8D" w:rsidRPr="00AE1C15">
        <w:rPr>
          <w:rFonts w:ascii="Calibri" w:hAnsi="Calibri"/>
        </w:rPr>
        <w:t xml:space="preserve">  </w:t>
      </w:r>
      <w:hyperlink r:id="rId11" w:history="1">
        <w:r w:rsidR="009A6E8D" w:rsidRPr="00AE1C15">
          <w:rPr>
            <w:rStyle w:val="Hyperlink"/>
            <w:rFonts w:ascii="Calibri" w:eastAsia="Calibri" w:hAnsi="Calibri"/>
            <w:color w:val="0070C0"/>
            <w:szCs w:val="22"/>
          </w:rPr>
          <w:t>Extended since 1997</w:t>
        </w:r>
      </w:hyperlink>
      <w:r w:rsidR="009A6E8D" w:rsidRPr="00AE1C15">
        <w:rPr>
          <w:rStyle w:val="EndnoteReference"/>
          <w:rFonts w:ascii="Calibri" w:hAnsi="Calibri"/>
        </w:rPr>
        <w:endnoteReference w:id="3"/>
      </w:r>
      <w:r w:rsidR="009A6E8D" w:rsidRPr="00AE1C15">
        <w:rPr>
          <w:rFonts w:ascii="Calibri" w:hAnsi="Calibri"/>
        </w:rPr>
        <w:t xml:space="preserve"> </w:t>
      </w:r>
    </w:p>
    <w:p w14:paraId="0215E821" w14:textId="77777777" w:rsidR="009A6E8D" w:rsidRPr="00AE1C15" w:rsidRDefault="009A6E8D" w:rsidP="009A6E8D">
      <w:pPr>
        <w:rPr>
          <w:rFonts w:ascii="Calibri" w:hAnsi="Calibri"/>
        </w:rPr>
      </w:pPr>
    </w:p>
    <w:p w14:paraId="1D76E4A0" w14:textId="49DDBF39" w:rsidR="009A6E8D" w:rsidRPr="00AE1C15" w:rsidRDefault="009A6E8D" w:rsidP="009A6E8D">
      <w:pPr>
        <w:rPr>
          <w:rFonts w:ascii="Calibri" w:hAnsi="Calibri" w:cs="Calibri"/>
          <w:b/>
          <w:color w:val="0477AE"/>
          <w:szCs w:val="24"/>
        </w:rPr>
      </w:pPr>
      <w:r w:rsidRPr="00AE1C15">
        <w:rPr>
          <w:rFonts w:ascii="Calibri" w:hAnsi="Calibri"/>
          <w:szCs w:val="24"/>
        </w:rPr>
        <w:t xml:space="preserve">A huge loophole in federal tax law allows companies to avoid paying U.S. taxes on profits they earn outside the United States until the income is brought back home—a tax break called “deferral.” </w:t>
      </w:r>
      <w:r w:rsidRPr="00AE1C15">
        <w:rPr>
          <w:rFonts w:ascii="Calibri" w:hAnsi="Calibri" w:cs="Calibri"/>
          <w:szCs w:val="24"/>
        </w:rPr>
        <w:t xml:space="preserve">But </w:t>
      </w:r>
      <w:r w:rsidRPr="00AE1C15">
        <w:rPr>
          <w:rFonts w:ascii="Calibri" w:hAnsi="Calibri"/>
          <w:szCs w:val="24"/>
        </w:rPr>
        <w:t xml:space="preserve">certain financial income like interest, dividends, rents and royalties can be easily manipulated to make profits earned in America look as if they were generated offshore. So this passive income—called in tax-code-speak “Subpart F” income—was made </w:t>
      </w:r>
      <w:hyperlink r:id="rId12" w:anchor=".UvQdWYVOQ7B" w:history="1">
        <w:r w:rsidRPr="00AE1C15">
          <w:rPr>
            <w:rStyle w:val="Hyperlink"/>
            <w:rFonts w:ascii="Calibri" w:eastAsia="Calibri" w:hAnsi="Calibri"/>
            <w:color w:val="0070C0"/>
          </w:rPr>
          <w:t>ineligible for deferral and instead immediately subject to U.S. corporate income taxes</w:t>
        </w:r>
      </w:hyperlink>
      <w:r w:rsidRPr="00AE1C15">
        <w:rPr>
          <w:rStyle w:val="EndnoteReference"/>
          <w:rFonts w:ascii="Calibri" w:hAnsi="Calibri"/>
          <w:szCs w:val="24"/>
        </w:rPr>
        <w:endnoteReference w:id="4"/>
      </w:r>
      <w:r w:rsidRPr="00AE1C15">
        <w:rPr>
          <w:rFonts w:ascii="Calibri" w:hAnsi="Calibri"/>
          <w:szCs w:val="24"/>
        </w:rPr>
        <w:t xml:space="preserve"> (less any taxes paid to the country where the profits were claimed to be earned). </w:t>
      </w:r>
    </w:p>
    <w:p w14:paraId="752D8F2A" w14:textId="77777777" w:rsidR="009A6E8D" w:rsidRPr="00AE1C15" w:rsidRDefault="009A6E8D" w:rsidP="009A6E8D">
      <w:pPr>
        <w:rPr>
          <w:rFonts w:ascii="Calibri" w:hAnsi="Calibri"/>
          <w:szCs w:val="24"/>
        </w:rPr>
      </w:pPr>
    </w:p>
    <w:p w14:paraId="6FDA2236" w14:textId="4A474D28" w:rsidR="009A6E8D" w:rsidRPr="00AE1C15" w:rsidRDefault="009A6E8D" w:rsidP="009A6E8D">
      <w:pPr>
        <w:rPr>
          <w:rFonts w:ascii="Calibri" w:hAnsi="Calibri"/>
          <w:szCs w:val="24"/>
        </w:rPr>
      </w:pPr>
      <w:r w:rsidRPr="00AE1C15">
        <w:rPr>
          <w:rFonts w:ascii="Calibri" w:hAnsi="Calibri"/>
          <w:szCs w:val="24"/>
        </w:rPr>
        <w:t xml:space="preserve">The “active financing exception” is an exception to Subpart F. </w:t>
      </w:r>
      <w:r w:rsidRPr="00AE1C15">
        <w:rPr>
          <w:rFonts w:ascii="Calibri" w:eastAsia="Times New Roman" w:hAnsi="Calibri"/>
          <w:noProof/>
          <w:szCs w:val="24"/>
          <w:shd w:val="clear" w:color="auto" w:fill="FFFFFF"/>
        </w:rPr>
        <w:t xml:space="preserve">This costly “exception to the rule” </w:t>
      </w:r>
      <w:r w:rsidRPr="006D3072">
        <w:rPr>
          <w:rFonts w:ascii="Calibri" w:hAnsi="Calibri"/>
        </w:rPr>
        <w:t xml:space="preserve">allows Wall Street investment banks, insurance companies and other multinationals with big financing arms, like General Electric, to </w:t>
      </w:r>
      <w:hyperlink r:id="rId13" w:history="1">
        <w:r w:rsidRPr="006D3072">
          <w:rPr>
            <w:rStyle w:val="Hyperlink"/>
            <w:rFonts w:ascii="Calibri" w:hAnsi="Calibri"/>
          </w:rPr>
          <w:t>dodge billions of dollars in taxes</w:t>
        </w:r>
        <w:r w:rsidRPr="006D3072">
          <w:rPr>
            <w:rStyle w:val="Hyperlink"/>
            <w:rFonts w:ascii="Calibri" w:hAnsi="Calibri"/>
            <w:szCs w:val="24"/>
          </w:rPr>
          <w:t xml:space="preserve"> simply by claiming that U.S.-based financing income is actually being generated offshore</w:t>
        </w:r>
      </w:hyperlink>
      <w:r w:rsidRPr="00AE1C15">
        <w:rPr>
          <w:rFonts w:ascii="Calibri" w:hAnsi="Calibri"/>
          <w:szCs w:val="24"/>
        </w:rPr>
        <w:t>.</w:t>
      </w:r>
      <w:r w:rsidR="006D3072" w:rsidRPr="00AE1C15">
        <w:rPr>
          <w:rStyle w:val="EndnoteReference"/>
          <w:rFonts w:ascii="Calibri" w:hAnsi="Calibri"/>
          <w:szCs w:val="24"/>
        </w:rPr>
        <w:endnoteReference w:id="5"/>
      </w:r>
      <w:r w:rsidRPr="00AE1C15">
        <w:rPr>
          <w:rFonts w:ascii="Calibri" w:hAnsi="Calibri"/>
          <w:szCs w:val="24"/>
        </w:rPr>
        <w:t xml:space="preserve"> </w:t>
      </w:r>
      <w:r w:rsidRPr="00AE1C15">
        <w:rPr>
          <w:rFonts w:ascii="Calibri" w:hAnsi="Calibri"/>
          <w:i/>
          <w:szCs w:val="24"/>
        </w:rPr>
        <w:t>It’s time we took exception to this resource-draining tax break.</w:t>
      </w:r>
      <w:r w:rsidRPr="00AE1C15">
        <w:rPr>
          <w:rFonts w:ascii="Calibri" w:hAnsi="Calibri"/>
          <w:szCs w:val="24"/>
        </w:rPr>
        <w:t xml:space="preserve"> </w:t>
      </w:r>
    </w:p>
    <w:p w14:paraId="1E5F5772" w14:textId="77777777" w:rsidR="009A6E8D" w:rsidRPr="00AE1C15" w:rsidRDefault="009A6E8D" w:rsidP="009A6E8D">
      <w:pPr>
        <w:rPr>
          <w:rFonts w:ascii="Calibri" w:hAnsi="Calibri"/>
          <w:szCs w:val="24"/>
        </w:rPr>
      </w:pPr>
    </w:p>
    <w:p w14:paraId="4AAA848F" w14:textId="77777777" w:rsidR="00A57BD4" w:rsidRPr="00AE1C15" w:rsidRDefault="00A57BD4" w:rsidP="009A6E8D">
      <w:pPr>
        <w:rPr>
          <w:rFonts w:ascii="Calibri" w:hAnsi="Calibri"/>
          <w:sz w:val="12"/>
          <w:szCs w:val="12"/>
        </w:rPr>
      </w:pPr>
    </w:p>
    <w:p w14:paraId="0AAC3B1E" w14:textId="1BE966B4" w:rsidR="009A6E8D" w:rsidRPr="00AE1C15" w:rsidRDefault="009A6E8D" w:rsidP="006C7169">
      <w:pPr>
        <w:rPr>
          <w:rFonts w:ascii="Calibri" w:hAnsi="Calibri" w:cs="Calibri"/>
          <w:b/>
          <w:color w:val="0477AE"/>
          <w:szCs w:val="24"/>
        </w:rPr>
      </w:pPr>
      <w:r w:rsidRPr="00AE1C15">
        <w:rPr>
          <w:rFonts w:ascii="Calibri" w:hAnsi="Calibri" w:cs="Calibri"/>
          <w:b/>
          <w:color w:val="0477AE"/>
          <w:szCs w:val="24"/>
        </w:rPr>
        <w:t xml:space="preserve">LOOKING BAD:  CFC LOOK-THROUGH RULE SHIFTS PROFITS OFFSHORE </w:t>
      </w:r>
    </w:p>
    <w:p w14:paraId="0C64A739" w14:textId="4D27107C" w:rsidR="009A6E8D" w:rsidRPr="00AE1C15" w:rsidRDefault="00A57775" w:rsidP="009A6E8D">
      <w:pPr>
        <w:rPr>
          <w:rStyle w:val="Hyperlink"/>
          <w:rFonts w:ascii="Calibri" w:eastAsia="Calibri" w:hAnsi="Calibri"/>
          <w:szCs w:val="22"/>
        </w:rPr>
      </w:pPr>
      <w:hyperlink r:id="rId14" w:history="1">
        <w:r w:rsidR="009A6E8D" w:rsidRPr="00AE1C15">
          <w:rPr>
            <w:rStyle w:val="Hyperlink"/>
            <w:rFonts w:ascii="Calibri" w:eastAsia="Calibri" w:hAnsi="Calibri"/>
            <w:color w:val="0070C0"/>
            <w:szCs w:val="22"/>
          </w:rPr>
          <w:t>$1</w:t>
        </w:r>
        <w:r w:rsidR="004332AD">
          <w:rPr>
            <w:rStyle w:val="Hyperlink"/>
            <w:rFonts w:ascii="Calibri" w:eastAsia="Calibri" w:hAnsi="Calibri"/>
            <w:color w:val="0070C0"/>
            <w:szCs w:val="22"/>
          </w:rPr>
          <w:t>7.5</w:t>
        </w:r>
        <w:r w:rsidR="009A6E8D" w:rsidRPr="00AE1C15">
          <w:rPr>
            <w:rStyle w:val="Hyperlink"/>
            <w:rFonts w:ascii="Calibri" w:eastAsia="Calibri" w:hAnsi="Calibri"/>
            <w:color w:val="0070C0"/>
            <w:szCs w:val="22"/>
          </w:rPr>
          <w:t xml:space="preserve"> Billion</w:t>
        </w:r>
      </w:hyperlink>
      <w:r w:rsidR="004332AD">
        <w:rPr>
          <w:rStyle w:val="Hyperlink"/>
          <w:rFonts w:ascii="Calibri" w:eastAsia="Calibri" w:hAnsi="Calibri"/>
          <w:color w:val="0070C0"/>
          <w:szCs w:val="22"/>
        </w:rPr>
        <w:t xml:space="preserve"> over 10 years</w:t>
      </w:r>
      <w:r w:rsidR="009A6E8D" w:rsidRPr="00AE1C15">
        <w:rPr>
          <w:rStyle w:val="EndnoteReference"/>
          <w:rFonts w:ascii="Calibri" w:hAnsi="Calibri"/>
        </w:rPr>
        <w:endnoteReference w:id="6"/>
      </w:r>
      <w:r w:rsidR="009A6E8D" w:rsidRPr="00AE1C15">
        <w:rPr>
          <w:rFonts w:ascii="Calibri" w:hAnsi="Calibri"/>
        </w:rPr>
        <w:t xml:space="preserve">  </w:t>
      </w:r>
      <w:hyperlink r:id="rId15" w:history="1">
        <w:r w:rsidR="009A6E8D" w:rsidRPr="00AE1C15">
          <w:rPr>
            <w:rStyle w:val="Hyperlink"/>
            <w:rFonts w:ascii="Calibri" w:eastAsia="Calibri" w:hAnsi="Calibri"/>
            <w:color w:val="0070C0"/>
            <w:szCs w:val="22"/>
          </w:rPr>
          <w:t>Extended since 2006</w:t>
        </w:r>
      </w:hyperlink>
      <w:r w:rsidR="009A6E8D" w:rsidRPr="00AE1C15">
        <w:rPr>
          <w:rStyle w:val="EndnoteReference"/>
          <w:rFonts w:ascii="Calibri" w:hAnsi="Calibri"/>
        </w:rPr>
        <w:endnoteReference w:id="7"/>
      </w:r>
    </w:p>
    <w:p w14:paraId="0C6FE777" w14:textId="77777777" w:rsidR="009A6E8D" w:rsidRPr="00AE1C15" w:rsidRDefault="009A6E8D" w:rsidP="009A6E8D">
      <w:pPr>
        <w:rPr>
          <w:rStyle w:val="Hyperlink"/>
          <w:rFonts w:ascii="Calibri" w:eastAsia="Calibri" w:hAnsi="Calibri"/>
          <w:szCs w:val="22"/>
        </w:rPr>
      </w:pPr>
    </w:p>
    <w:p w14:paraId="1C6B4CDB" w14:textId="73CA1322" w:rsidR="009A6E8D" w:rsidRPr="00AE1C15" w:rsidRDefault="009A6E8D" w:rsidP="009A6E8D">
      <w:pPr>
        <w:rPr>
          <w:rStyle w:val="Hyperlink"/>
          <w:rFonts w:ascii="Calibri" w:eastAsia="Calibri" w:hAnsi="Calibri"/>
          <w:color w:val="auto"/>
          <w:szCs w:val="22"/>
          <w:u w:val="none"/>
        </w:rPr>
      </w:pPr>
      <w:r w:rsidRPr="00AE1C15">
        <w:rPr>
          <w:rStyle w:val="Hyperlink"/>
          <w:rFonts w:ascii="Calibri" w:eastAsia="Calibri" w:hAnsi="Calibri"/>
          <w:color w:val="auto"/>
          <w:szCs w:val="22"/>
          <w:u w:val="none"/>
        </w:rPr>
        <w:t>American corporations with multiple offshore subsidiaries—so-called “controlled foreign corporations” (CFCs)—often shift money from country to co</w:t>
      </w:r>
      <w:r w:rsidR="00D27D29">
        <w:rPr>
          <w:rStyle w:val="Hyperlink"/>
          <w:rFonts w:ascii="Calibri" w:eastAsia="Calibri" w:hAnsi="Calibri"/>
          <w:color w:val="auto"/>
          <w:szCs w:val="22"/>
          <w:u w:val="none"/>
        </w:rPr>
        <w:t xml:space="preserve">untry in order to avoid foreign </w:t>
      </w:r>
      <w:r w:rsidR="00D27D29">
        <w:rPr>
          <w:rStyle w:val="Hyperlink"/>
          <w:rFonts w:ascii="Calibri" w:eastAsia="Calibri" w:hAnsi="Calibri"/>
          <w:color w:val="auto"/>
          <w:szCs w:val="22"/>
          <w:u w:val="none"/>
        </w:rPr>
        <w:lastRenderedPageBreak/>
        <w:t>t</w:t>
      </w:r>
      <w:r w:rsidRPr="00AE1C15">
        <w:rPr>
          <w:rStyle w:val="Hyperlink"/>
          <w:rFonts w:ascii="Calibri" w:eastAsia="Calibri" w:hAnsi="Calibri"/>
          <w:color w:val="auto"/>
          <w:szCs w:val="22"/>
          <w:u w:val="none"/>
        </w:rPr>
        <w:t>axes</w:t>
      </w:r>
      <w:r w:rsidR="00D27D29">
        <w:rPr>
          <w:rStyle w:val="Hyperlink"/>
          <w:rFonts w:ascii="Calibri" w:eastAsia="Calibri" w:hAnsi="Calibri"/>
          <w:color w:val="auto"/>
          <w:szCs w:val="22"/>
          <w:u w:val="none"/>
        </w:rPr>
        <w:t xml:space="preserve">. </w:t>
      </w:r>
      <w:hyperlink r:id="rId16" w:history="1">
        <w:r w:rsidRPr="00D27D29">
          <w:rPr>
            <w:rStyle w:val="Hyperlink"/>
            <w:rFonts w:ascii="Calibri" w:eastAsia="Calibri" w:hAnsi="Calibri"/>
            <w:szCs w:val="22"/>
          </w:rPr>
          <w:t>This profit-shuffling might trigger U.S. taxes if not for special loopholes like the “look-through rule</w:t>
        </w:r>
        <w:r w:rsidR="00E63031">
          <w:rPr>
            <w:rStyle w:val="Hyperlink"/>
            <w:rFonts w:ascii="Calibri" w:eastAsia="Calibri" w:hAnsi="Calibri"/>
            <w:szCs w:val="22"/>
          </w:rPr>
          <w:t>.</w:t>
        </w:r>
        <w:r w:rsidRPr="00D27D29">
          <w:rPr>
            <w:rStyle w:val="Hyperlink"/>
            <w:rFonts w:ascii="Calibri" w:eastAsia="Calibri" w:hAnsi="Calibri"/>
            <w:szCs w:val="22"/>
          </w:rPr>
          <w:t>”</w:t>
        </w:r>
      </w:hyperlink>
      <w:r w:rsidRPr="00AE1C15">
        <w:rPr>
          <w:rStyle w:val="EndnoteReference"/>
          <w:rFonts w:ascii="Calibri" w:hAnsi="Calibri"/>
        </w:rPr>
        <w:endnoteReference w:id="8"/>
      </w:r>
      <w:r w:rsidRPr="00AE1C15">
        <w:rPr>
          <w:rStyle w:val="Hyperlink"/>
          <w:rFonts w:ascii="Calibri" w:eastAsia="Calibri" w:hAnsi="Calibri"/>
          <w:szCs w:val="22"/>
          <w:u w:val="none"/>
        </w:rPr>
        <w:t xml:space="preserve"> </w:t>
      </w:r>
      <w:r w:rsidRPr="00AE1C15">
        <w:rPr>
          <w:rStyle w:val="Hyperlink"/>
          <w:rFonts w:ascii="Calibri" w:eastAsia="Calibri" w:hAnsi="Calibri"/>
          <w:color w:val="auto"/>
          <w:szCs w:val="22"/>
          <w:u w:val="none"/>
        </w:rPr>
        <w:t>It makes it possible for multinational corporations to avoid taxation on billions of dollars in profits—money that was made somewhere, but thanks to accounting tricks,</w:t>
      </w:r>
      <w:r w:rsidRPr="00AE1C15">
        <w:rPr>
          <w:rStyle w:val="Hyperlink"/>
          <w:rFonts w:ascii="Calibri" w:eastAsia="Calibri" w:hAnsi="Calibri"/>
          <w:szCs w:val="22"/>
        </w:rPr>
        <w:t xml:space="preserve"> often </w:t>
      </w:r>
      <w:hyperlink r:id="rId17" w:history="1">
        <w:r w:rsidRPr="00AE1C15">
          <w:rPr>
            <w:rStyle w:val="Hyperlink"/>
            <w:rFonts w:ascii="Calibri" w:eastAsia="Calibri" w:hAnsi="Calibri"/>
            <w:color w:val="0070C0"/>
            <w:szCs w:val="22"/>
          </w:rPr>
          <w:t>for tax purposes exists nowhere</w:t>
        </w:r>
      </w:hyperlink>
      <w:r w:rsidRPr="00AE1C15">
        <w:rPr>
          <w:rStyle w:val="Hyperlink"/>
          <w:rFonts w:ascii="Calibri" w:eastAsia="Calibri" w:hAnsi="Calibri"/>
          <w:szCs w:val="22"/>
        </w:rPr>
        <w:t>.</w:t>
      </w:r>
      <w:r w:rsidRPr="00AE1C15">
        <w:rPr>
          <w:rStyle w:val="EndnoteReference"/>
          <w:rFonts w:ascii="Calibri" w:hAnsi="Calibri"/>
        </w:rPr>
        <w:endnoteReference w:id="9"/>
      </w:r>
      <w:r w:rsidRPr="00AE1C15">
        <w:rPr>
          <w:rStyle w:val="Hyperlink"/>
          <w:rFonts w:ascii="Calibri" w:eastAsia="Calibri" w:hAnsi="Calibri"/>
          <w:color w:val="auto"/>
          <w:szCs w:val="22"/>
          <w:u w:val="none"/>
        </w:rPr>
        <w:t xml:space="preserve"> </w:t>
      </w:r>
      <w:r w:rsidRPr="00AE1C15">
        <w:rPr>
          <w:rStyle w:val="Hyperlink"/>
          <w:rFonts w:ascii="Calibri" w:eastAsia="Calibri" w:hAnsi="Calibri"/>
          <w:i/>
          <w:color w:val="auto"/>
          <w:szCs w:val="22"/>
          <w:u w:val="none"/>
        </w:rPr>
        <w:t>It’s time to rule the “Look-Through Rule” out of bounds.</w:t>
      </w:r>
      <w:r w:rsidRPr="00AE1C15">
        <w:rPr>
          <w:rStyle w:val="Hyperlink"/>
          <w:rFonts w:ascii="Calibri" w:eastAsia="Calibri" w:hAnsi="Calibri"/>
          <w:color w:val="auto"/>
          <w:szCs w:val="22"/>
          <w:u w:val="none"/>
        </w:rPr>
        <w:t xml:space="preserve"> </w:t>
      </w:r>
    </w:p>
    <w:p w14:paraId="5B703D95" w14:textId="77777777" w:rsidR="009A6E8D" w:rsidRPr="00AE1C15" w:rsidRDefault="009A6E8D" w:rsidP="009A6E8D">
      <w:pPr>
        <w:rPr>
          <w:rFonts w:ascii="Calibri" w:hAnsi="Calibri"/>
          <w:szCs w:val="24"/>
        </w:rPr>
      </w:pPr>
    </w:p>
    <w:p w14:paraId="7BF756AA" w14:textId="77777777" w:rsidR="00A57BD4" w:rsidRPr="00AE1C15" w:rsidRDefault="00A57BD4" w:rsidP="009A6E8D">
      <w:pPr>
        <w:rPr>
          <w:rFonts w:ascii="Calibri" w:hAnsi="Calibri"/>
          <w:sz w:val="12"/>
          <w:szCs w:val="12"/>
        </w:rPr>
      </w:pPr>
    </w:p>
    <w:p w14:paraId="5AC4BA48" w14:textId="77777777" w:rsidR="009A6E8D" w:rsidRPr="00AE1C15" w:rsidRDefault="009A6E8D" w:rsidP="006C7169">
      <w:pPr>
        <w:rPr>
          <w:rFonts w:ascii="Calibri" w:hAnsi="Calibri" w:cs="Calibri"/>
          <w:b/>
          <w:color w:val="0477AE"/>
          <w:szCs w:val="24"/>
        </w:rPr>
      </w:pPr>
      <w:r w:rsidRPr="00AE1C15">
        <w:rPr>
          <w:rFonts w:ascii="Calibri" w:hAnsi="Calibri" w:cs="Calibri"/>
          <w:b/>
          <w:color w:val="0477AE"/>
          <w:szCs w:val="24"/>
        </w:rPr>
        <w:t xml:space="preserve">EXPERIMENT IN TAX AVOIDANCE: CREDIT FOR RESEARCH AND EXPERIMENTATION  </w:t>
      </w:r>
    </w:p>
    <w:p w14:paraId="482B462E" w14:textId="2054A558" w:rsidR="009A6E8D" w:rsidRPr="00AE1C15" w:rsidRDefault="00A57775" w:rsidP="009A6E8D">
      <w:pPr>
        <w:rPr>
          <w:rStyle w:val="Hyperlink"/>
          <w:rFonts w:ascii="Calibri" w:eastAsia="Calibri" w:hAnsi="Calibri"/>
          <w:szCs w:val="22"/>
        </w:rPr>
      </w:pPr>
      <w:hyperlink r:id="rId18" w:history="1">
        <w:r w:rsidR="009A6E8D" w:rsidRPr="00AE1C15">
          <w:rPr>
            <w:rStyle w:val="Hyperlink"/>
            <w:rFonts w:ascii="Calibri" w:eastAsia="Calibri" w:hAnsi="Calibri"/>
            <w:color w:val="0070C0"/>
            <w:szCs w:val="22"/>
          </w:rPr>
          <w:t>$</w:t>
        </w:r>
        <w:r w:rsidR="004332AD">
          <w:rPr>
            <w:rStyle w:val="Hyperlink"/>
            <w:rFonts w:ascii="Calibri" w:eastAsia="Calibri" w:hAnsi="Calibri"/>
            <w:color w:val="0070C0"/>
            <w:szCs w:val="22"/>
          </w:rPr>
          <w:t>66</w:t>
        </w:r>
        <w:r w:rsidR="009A6E8D" w:rsidRPr="00AE1C15">
          <w:rPr>
            <w:rStyle w:val="Hyperlink"/>
            <w:rFonts w:ascii="Calibri" w:eastAsia="Calibri" w:hAnsi="Calibri"/>
            <w:color w:val="0070C0"/>
            <w:szCs w:val="22"/>
          </w:rPr>
          <w:t xml:space="preserve"> Billion</w:t>
        </w:r>
      </w:hyperlink>
      <w:r w:rsidR="004332AD">
        <w:rPr>
          <w:rStyle w:val="Hyperlink"/>
          <w:rFonts w:ascii="Calibri" w:eastAsia="Calibri" w:hAnsi="Calibri"/>
          <w:color w:val="0070C0"/>
          <w:szCs w:val="22"/>
        </w:rPr>
        <w:t xml:space="preserve"> over 10 years</w:t>
      </w:r>
      <w:r w:rsidR="009A6E8D" w:rsidRPr="00AE1C15">
        <w:rPr>
          <w:rStyle w:val="EndnoteReference"/>
          <w:rFonts w:ascii="Calibri" w:hAnsi="Calibri"/>
        </w:rPr>
        <w:endnoteReference w:id="10"/>
      </w:r>
      <w:r w:rsidR="009A6E8D" w:rsidRPr="00AE1C15">
        <w:rPr>
          <w:rFonts w:ascii="Calibri" w:hAnsi="Calibri"/>
        </w:rPr>
        <w:t xml:space="preserve">  </w:t>
      </w:r>
      <w:hyperlink r:id="rId19" w:history="1">
        <w:r w:rsidR="009A6E8D" w:rsidRPr="00AE1C15">
          <w:rPr>
            <w:rStyle w:val="Hyperlink"/>
            <w:rFonts w:ascii="Calibri" w:eastAsia="Calibri" w:hAnsi="Calibri"/>
            <w:color w:val="0070C0"/>
            <w:szCs w:val="22"/>
          </w:rPr>
          <w:t>Extended since 1981</w:t>
        </w:r>
      </w:hyperlink>
      <w:r w:rsidR="009A6E8D" w:rsidRPr="00AE1C15">
        <w:rPr>
          <w:rStyle w:val="EndnoteReference"/>
          <w:rFonts w:ascii="Calibri" w:hAnsi="Calibri"/>
        </w:rPr>
        <w:endnoteReference w:id="11"/>
      </w:r>
    </w:p>
    <w:p w14:paraId="3F302D60" w14:textId="77777777" w:rsidR="009A6E8D" w:rsidRPr="00AE1C15" w:rsidRDefault="009A6E8D" w:rsidP="009A6E8D">
      <w:pPr>
        <w:rPr>
          <w:rStyle w:val="Hyperlink"/>
          <w:rFonts w:ascii="Calibri" w:eastAsia="Calibri" w:hAnsi="Calibri"/>
          <w:szCs w:val="22"/>
        </w:rPr>
      </w:pPr>
    </w:p>
    <w:p w14:paraId="36498D79" w14:textId="038FE23E" w:rsidR="009A6E8D" w:rsidRPr="00AE1C15" w:rsidRDefault="009A6E8D" w:rsidP="009A6E8D">
      <w:pPr>
        <w:rPr>
          <w:rStyle w:val="Hyperlink"/>
          <w:rFonts w:ascii="Calibri" w:eastAsia="Calibri" w:hAnsi="Calibri"/>
          <w:szCs w:val="22"/>
        </w:rPr>
      </w:pPr>
      <w:r w:rsidRPr="00AE1C15">
        <w:rPr>
          <w:rStyle w:val="Hyperlink"/>
          <w:rFonts w:ascii="Calibri" w:eastAsia="Calibri" w:hAnsi="Calibri"/>
          <w:color w:val="auto"/>
          <w:szCs w:val="22"/>
          <w:u w:val="none"/>
        </w:rPr>
        <w:t xml:space="preserve">Prompting businesses to conduct more research and experimentation may be a good idea, but this tax loophole as currently designed is not. </w:t>
      </w:r>
      <w:r w:rsidR="00A94052" w:rsidRPr="00BD0CBB">
        <w:rPr>
          <w:rStyle w:val="Hyperlink"/>
          <w:rFonts w:asciiTheme="minorHAnsi" w:eastAsia="Calibri" w:hAnsiTheme="minorHAnsi" w:cstheme="minorHAnsi"/>
          <w:color w:val="auto"/>
          <w:szCs w:val="24"/>
          <w:u w:val="none"/>
        </w:rPr>
        <w:t>Corporations can take t</w:t>
      </w:r>
      <w:r w:rsidRPr="00BD0CBB">
        <w:rPr>
          <w:rStyle w:val="Hyperlink"/>
          <w:rFonts w:asciiTheme="minorHAnsi" w:eastAsia="Calibri" w:hAnsiTheme="minorHAnsi" w:cstheme="minorHAnsi"/>
          <w:color w:val="auto"/>
          <w:szCs w:val="24"/>
          <w:u w:val="none"/>
        </w:rPr>
        <w:t xml:space="preserve">he Research &amp; Experimentation (R&amp;E) </w:t>
      </w:r>
      <w:r w:rsidR="000F3C85">
        <w:rPr>
          <w:rStyle w:val="Hyperlink"/>
          <w:rFonts w:asciiTheme="minorHAnsi" w:eastAsia="Calibri" w:hAnsiTheme="minorHAnsi" w:cstheme="minorHAnsi"/>
          <w:color w:val="auto"/>
          <w:szCs w:val="24"/>
          <w:u w:val="none"/>
        </w:rPr>
        <w:t xml:space="preserve">tax credit </w:t>
      </w:r>
      <w:r w:rsidRPr="00BD0CBB">
        <w:rPr>
          <w:rStyle w:val="Hyperlink"/>
          <w:rFonts w:asciiTheme="minorHAnsi" w:eastAsia="Calibri" w:hAnsiTheme="minorHAnsi" w:cstheme="minorHAnsi"/>
          <w:color w:val="auto"/>
          <w:szCs w:val="24"/>
          <w:u w:val="none"/>
        </w:rPr>
        <w:t>for</w:t>
      </w:r>
      <w:r w:rsidRPr="00BD0CBB">
        <w:rPr>
          <w:rStyle w:val="Hyperlink"/>
          <w:rFonts w:asciiTheme="minorHAnsi" w:eastAsia="Calibri" w:hAnsiTheme="minorHAnsi" w:cstheme="minorHAnsi"/>
          <w:szCs w:val="24"/>
          <w:u w:val="none"/>
        </w:rPr>
        <w:t xml:space="preserve"> </w:t>
      </w:r>
      <w:r w:rsidRPr="00BD0CBB">
        <w:rPr>
          <w:rFonts w:asciiTheme="minorHAnsi" w:hAnsiTheme="minorHAnsi" w:cstheme="minorHAnsi"/>
          <w:szCs w:val="24"/>
        </w:rPr>
        <w:t xml:space="preserve">innovations as frivolous as </w:t>
      </w:r>
      <w:r w:rsidR="00A94052" w:rsidRPr="00BD0CBB">
        <w:rPr>
          <w:rFonts w:asciiTheme="minorHAnsi" w:hAnsiTheme="minorHAnsi" w:cstheme="minorHAnsi"/>
          <w:szCs w:val="24"/>
        </w:rPr>
        <w:t>new</w:t>
      </w:r>
      <w:r w:rsidR="00E31C28" w:rsidRPr="00BD0CBB">
        <w:rPr>
          <w:rFonts w:asciiTheme="minorHAnsi" w:hAnsiTheme="minorHAnsi" w:cstheme="minorHAnsi"/>
          <w:szCs w:val="24"/>
        </w:rPr>
        <w:t xml:space="preserve"> </w:t>
      </w:r>
      <w:r w:rsidR="004850D0" w:rsidRPr="00BD0CBB">
        <w:rPr>
          <w:rFonts w:asciiTheme="minorHAnsi" w:hAnsiTheme="minorHAnsi" w:cstheme="minorHAnsi"/>
          <w:szCs w:val="24"/>
        </w:rPr>
        <w:t xml:space="preserve">food </w:t>
      </w:r>
      <w:r w:rsidR="00E31C28" w:rsidRPr="00BD0CBB">
        <w:rPr>
          <w:rFonts w:asciiTheme="minorHAnsi" w:hAnsiTheme="minorHAnsi" w:cstheme="minorHAnsi"/>
          <w:szCs w:val="24"/>
        </w:rPr>
        <w:t>flavors and textures</w:t>
      </w:r>
      <w:r w:rsidR="006D3072">
        <w:rPr>
          <w:rFonts w:asciiTheme="minorHAnsi" w:hAnsiTheme="minorHAnsi" w:cstheme="minorHAnsi"/>
          <w:szCs w:val="24"/>
        </w:rPr>
        <w:t>.</w:t>
      </w:r>
      <w:r w:rsidRPr="00BD0CBB">
        <w:rPr>
          <w:rStyle w:val="EndnoteReference"/>
          <w:rFonts w:asciiTheme="minorHAnsi" w:hAnsiTheme="minorHAnsi" w:cstheme="minorHAnsi"/>
          <w:szCs w:val="24"/>
        </w:rPr>
        <w:endnoteReference w:id="12"/>
      </w:r>
      <w:r w:rsidRPr="00AE1C15">
        <w:rPr>
          <w:rStyle w:val="Hyperlink"/>
          <w:rFonts w:ascii="Calibri" w:eastAsia="Calibri" w:hAnsi="Calibri"/>
          <w:szCs w:val="22"/>
        </w:rPr>
        <w:t xml:space="preserve">  </w:t>
      </w:r>
    </w:p>
    <w:p w14:paraId="3EC52D61" w14:textId="77777777" w:rsidR="009A6E8D" w:rsidRPr="00AE1C15" w:rsidRDefault="009A6E8D" w:rsidP="009A6E8D">
      <w:pPr>
        <w:rPr>
          <w:rStyle w:val="Hyperlink"/>
          <w:rFonts w:ascii="Calibri" w:eastAsia="Calibri" w:hAnsi="Calibri"/>
          <w:szCs w:val="22"/>
        </w:rPr>
      </w:pPr>
    </w:p>
    <w:p w14:paraId="2D6AB496" w14:textId="3B9152B0" w:rsidR="009A6E8D" w:rsidRPr="00AE1C15" w:rsidRDefault="009A6E8D" w:rsidP="009A6E8D">
      <w:pPr>
        <w:rPr>
          <w:rStyle w:val="Hyperlink"/>
          <w:rFonts w:ascii="Calibri" w:eastAsia="Calibri" w:hAnsi="Calibri"/>
          <w:color w:val="auto"/>
          <w:szCs w:val="22"/>
          <w:u w:val="none"/>
        </w:rPr>
      </w:pPr>
      <w:r w:rsidRPr="00AE1C15">
        <w:rPr>
          <w:rStyle w:val="Hyperlink"/>
          <w:rFonts w:ascii="Calibri" w:eastAsia="Calibri" w:hAnsi="Calibri"/>
          <w:color w:val="auto"/>
          <w:szCs w:val="22"/>
          <w:u w:val="none"/>
        </w:rPr>
        <w:t>The R&amp;E tax credit</w:t>
      </w:r>
      <w:r w:rsidRPr="00AE1C15">
        <w:rPr>
          <w:rStyle w:val="Hyperlink"/>
          <w:rFonts w:ascii="Calibri" w:eastAsia="Calibri" w:hAnsi="Calibri"/>
          <w:szCs w:val="22"/>
          <w:u w:val="none"/>
        </w:rPr>
        <w:t xml:space="preserve"> </w:t>
      </w:r>
      <w:hyperlink r:id="rId20" w:history="1">
        <w:r w:rsidRPr="00AE1C15">
          <w:rPr>
            <w:rStyle w:val="Hyperlink"/>
            <w:rFonts w:ascii="Calibri" w:eastAsia="Calibri" w:hAnsi="Calibri"/>
            <w:color w:val="0070C0"/>
            <w:szCs w:val="22"/>
          </w:rPr>
          <w:t>subsidizes some research that companies likely would have done anyway</w:t>
        </w:r>
      </w:hyperlink>
      <w:r w:rsidRPr="00AE1C15">
        <w:rPr>
          <w:rStyle w:val="Hyperlink"/>
          <w:rFonts w:ascii="Calibri" w:eastAsia="Calibri" w:hAnsi="Calibri"/>
          <w:szCs w:val="22"/>
        </w:rPr>
        <w:t>.</w:t>
      </w:r>
      <w:r w:rsidRPr="00AE1C15">
        <w:rPr>
          <w:rStyle w:val="EndnoteReference"/>
          <w:rFonts w:ascii="Calibri" w:hAnsi="Calibri"/>
        </w:rPr>
        <w:endnoteReference w:id="13"/>
      </w:r>
      <w:r w:rsidRPr="00AE1C15">
        <w:rPr>
          <w:rStyle w:val="Hyperlink"/>
          <w:rFonts w:ascii="Calibri" w:eastAsia="Calibri" w:hAnsi="Calibri"/>
          <w:szCs w:val="22"/>
        </w:rPr>
        <w:t xml:space="preserve">    </w:t>
      </w:r>
      <w:r w:rsidRPr="00AE1C15">
        <w:rPr>
          <w:rStyle w:val="Hyperlink"/>
          <w:rFonts w:ascii="Calibri" w:eastAsia="Calibri" w:hAnsi="Calibri"/>
          <w:color w:val="auto"/>
          <w:szCs w:val="22"/>
          <w:u w:val="none"/>
        </w:rPr>
        <w:t xml:space="preserve">Although the credit is only applicable to R&amp;E expenditures above a “base amount,” companies can manipulate estimates of the base figures in order to gain a maximum tax subsidy.  Worst of all, </w:t>
      </w:r>
      <w:hyperlink r:id="rId21" w:history="1">
        <w:r w:rsidRPr="006D3072">
          <w:rPr>
            <w:rStyle w:val="Hyperlink"/>
            <w:rFonts w:ascii="Calibri" w:eastAsia="Calibri" w:hAnsi="Calibri"/>
            <w:szCs w:val="22"/>
          </w:rPr>
          <w:t>firms are allowed to take it retroactively</w:t>
        </w:r>
      </w:hyperlink>
      <w:r w:rsidRPr="00AE1C15">
        <w:rPr>
          <w:rStyle w:val="Hyperlink"/>
          <w:rFonts w:ascii="Calibri" w:eastAsia="Calibri" w:hAnsi="Calibri"/>
          <w:color w:val="auto"/>
          <w:szCs w:val="22"/>
          <w:u w:val="none"/>
        </w:rPr>
        <w:t>, meaning they are being rewarded for performing research they obviously thought</w:t>
      </w:r>
      <w:r w:rsidRPr="00AE1C15">
        <w:rPr>
          <w:rStyle w:val="Hyperlink"/>
          <w:rFonts w:ascii="Calibri" w:eastAsia="Calibri" w:hAnsi="Calibri"/>
          <w:szCs w:val="22"/>
          <w:u w:val="none"/>
        </w:rPr>
        <w:t xml:space="preserve"> </w:t>
      </w:r>
      <w:r w:rsidR="001355C7" w:rsidRPr="001355C7">
        <w:rPr>
          <w:rFonts w:ascii="Calibri" w:eastAsia="Calibri" w:hAnsi="Calibri"/>
          <w:szCs w:val="22"/>
        </w:rPr>
        <w:t>valuable even in the absence of a tax incentive</w:t>
      </w:r>
      <w:r w:rsidRPr="00AE1C15">
        <w:rPr>
          <w:rStyle w:val="Hyperlink"/>
          <w:rFonts w:ascii="Calibri" w:eastAsia="Calibri" w:hAnsi="Calibri"/>
          <w:color w:val="auto"/>
          <w:szCs w:val="22"/>
          <w:u w:val="none"/>
        </w:rPr>
        <w:t>.</w:t>
      </w:r>
      <w:r w:rsidR="006D3072">
        <w:rPr>
          <w:rStyle w:val="EndnoteReference"/>
          <w:rFonts w:ascii="Calibri" w:eastAsia="Calibri" w:hAnsi="Calibri"/>
          <w:szCs w:val="22"/>
        </w:rPr>
        <w:endnoteReference w:id="14"/>
      </w:r>
      <w:r w:rsidRPr="00AE1C15">
        <w:rPr>
          <w:rStyle w:val="Hyperlink"/>
          <w:rFonts w:ascii="Calibri" w:eastAsia="Calibri" w:hAnsi="Calibri"/>
          <w:color w:val="auto"/>
          <w:szCs w:val="22"/>
          <w:u w:val="none"/>
        </w:rPr>
        <w:t xml:space="preserve"> </w:t>
      </w:r>
      <w:r w:rsidRPr="00AE1C15">
        <w:rPr>
          <w:rStyle w:val="Hyperlink"/>
          <w:rFonts w:ascii="Calibri" w:eastAsia="Calibri" w:hAnsi="Calibri"/>
          <w:i/>
          <w:color w:val="auto"/>
          <w:szCs w:val="22"/>
          <w:u w:val="none"/>
        </w:rPr>
        <w:t>No further research is needed on this one: the current R &amp; E tax credit is an experiment gone wrong and needs to be overhauled.</w:t>
      </w:r>
      <w:r w:rsidRPr="00AE1C15">
        <w:rPr>
          <w:rStyle w:val="Hyperlink"/>
          <w:rFonts w:ascii="Calibri" w:eastAsia="Calibri" w:hAnsi="Calibri"/>
          <w:color w:val="auto"/>
          <w:szCs w:val="22"/>
          <w:u w:val="none"/>
        </w:rPr>
        <w:t xml:space="preserve"> </w:t>
      </w:r>
    </w:p>
    <w:p w14:paraId="719EA9DE" w14:textId="77777777" w:rsidR="009A6E8D" w:rsidRPr="00AE1C15" w:rsidRDefault="009A6E8D" w:rsidP="009A6E8D">
      <w:pPr>
        <w:rPr>
          <w:rFonts w:ascii="Calibri" w:hAnsi="Calibri"/>
        </w:rPr>
      </w:pPr>
    </w:p>
    <w:p w14:paraId="6EE79F82" w14:textId="77777777" w:rsidR="00A57BD4" w:rsidRPr="00AE1C15" w:rsidRDefault="00A57BD4" w:rsidP="009A6E8D">
      <w:pPr>
        <w:rPr>
          <w:rFonts w:ascii="Calibri" w:hAnsi="Calibri"/>
          <w:sz w:val="12"/>
          <w:szCs w:val="12"/>
        </w:rPr>
      </w:pPr>
    </w:p>
    <w:p w14:paraId="46DF33CA" w14:textId="31BDB8EC" w:rsidR="009A6E8D" w:rsidRPr="00AE1C15" w:rsidRDefault="009A6E8D" w:rsidP="006C7169">
      <w:pPr>
        <w:rPr>
          <w:rFonts w:ascii="Calibri" w:hAnsi="Calibri" w:cs="Calibri"/>
          <w:b/>
          <w:color w:val="0477AE"/>
          <w:szCs w:val="24"/>
        </w:rPr>
      </w:pPr>
      <w:r w:rsidRPr="00AE1C15">
        <w:rPr>
          <w:rFonts w:ascii="Calibri" w:hAnsi="Calibri" w:cs="Calibri"/>
          <w:b/>
          <w:color w:val="0477AE"/>
          <w:szCs w:val="24"/>
        </w:rPr>
        <w:t xml:space="preserve">RACING TO THE BANK: THE NASCAR TAX CREDIT </w:t>
      </w:r>
    </w:p>
    <w:p w14:paraId="7BD2A612" w14:textId="46C56EEE" w:rsidR="009A6E8D" w:rsidRPr="00AE1C15" w:rsidRDefault="00A57775" w:rsidP="009A6E8D">
      <w:pPr>
        <w:rPr>
          <w:rFonts w:ascii="Calibri" w:hAnsi="Calibri"/>
        </w:rPr>
      </w:pPr>
      <w:hyperlink r:id="rId22" w:history="1">
        <w:r w:rsidR="009A6E8D" w:rsidRPr="00AE1C15">
          <w:rPr>
            <w:rStyle w:val="Hyperlink"/>
            <w:rFonts w:ascii="Calibri" w:eastAsia="Calibri" w:hAnsi="Calibri"/>
            <w:color w:val="0070C0"/>
            <w:szCs w:val="22"/>
          </w:rPr>
          <w:t>$</w:t>
        </w:r>
        <w:r w:rsidR="004332AD">
          <w:rPr>
            <w:rStyle w:val="Hyperlink"/>
            <w:rFonts w:ascii="Calibri" w:eastAsia="Calibri" w:hAnsi="Calibri"/>
            <w:color w:val="0070C0"/>
            <w:szCs w:val="22"/>
          </w:rPr>
          <w:t>540</w:t>
        </w:r>
        <w:r w:rsidR="009A6E8D" w:rsidRPr="00AE1C15">
          <w:rPr>
            <w:rStyle w:val="Hyperlink"/>
            <w:rFonts w:ascii="Calibri" w:eastAsia="Calibri" w:hAnsi="Calibri"/>
            <w:color w:val="0070C0"/>
            <w:szCs w:val="22"/>
          </w:rPr>
          <w:t xml:space="preserve"> Million</w:t>
        </w:r>
      </w:hyperlink>
      <w:r w:rsidR="004332AD">
        <w:rPr>
          <w:rStyle w:val="Hyperlink"/>
          <w:rFonts w:ascii="Calibri" w:eastAsia="Calibri" w:hAnsi="Calibri"/>
          <w:color w:val="0070C0"/>
          <w:szCs w:val="22"/>
        </w:rPr>
        <w:t xml:space="preserve"> over 10 years</w:t>
      </w:r>
      <w:r w:rsidR="009A6E8D" w:rsidRPr="00AE1C15">
        <w:rPr>
          <w:rStyle w:val="EndnoteReference"/>
          <w:rFonts w:ascii="Calibri" w:hAnsi="Calibri"/>
        </w:rPr>
        <w:endnoteReference w:id="15"/>
      </w:r>
      <w:r w:rsidR="009A6E8D" w:rsidRPr="00AE1C15">
        <w:rPr>
          <w:rFonts w:ascii="Calibri" w:hAnsi="Calibri"/>
        </w:rPr>
        <w:t xml:space="preserve">  </w:t>
      </w:r>
      <w:hyperlink r:id="rId23" w:history="1">
        <w:r w:rsidR="009A6E8D" w:rsidRPr="00AE1C15">
          <w:rPr>
            <w:rStyle w:val="Hyperlink"/>
            <w:rFonts w:ascii="Calibri" w:eastAsia="Calibri" w:hAnsi="Calibri"/>
            <w:color w:val="0070C0"/>
            <w:szCs w:val="22"/>
          </w:rPr>
          <w:t>Extended since 2004</w:t>
        </w:r>
      </w:hyperlink>
      <w:r w:rsidR="009A6E8D" w:rsidRPr="00AE1C15">
        <w:rPr>
          <w:rStyle w:val="EndnoteReference"/>
          <w:rFonts w:ascii="Calibri" w:hAnsi="Calibri"/>
        </w:rPr>
        <w:endnoteReference w:id="16"/>
      </w:r>
      <w:r w:rsidR="009A6E8D" w:rsidRPr="00AE1C15">
        <w:rPr>
          <w:rFonts w:ascii="Calibri" w:hAnsi="Calibri"/>
        </w:rPr>
        <w:t xml:space="preserve"> </w:t>
      </w:r>
    </w:p>
    <w:p w14:paraId="5B39EAA3" w14:textId="77777777" w:rsidR="009A6E8D" w:rsidRPr="00AE1C15" w:rsidRDefault="009A6E8D" w:rsidP="009A6E8D">
      <w:pPr>
        <w:rPr>
          <w:rFonts w:ascii="Calibri" w:hAnsi="Calibri"/>
        </w:rPr>
      </w:pPr>
    </w:p>
    <w:p w14:paraId="57EB50D8" w14:textId="68C656AB" w:rsidR="009A6E8D" w:rsidRPr="00AE1C15" w:rsidRDefault="009A6E8D" w:rsidP="009A6E8D">
      <w:pPr>
        <w:rPr>
          <w:rFonts w:ascii="Calibri" w:hAnsi="Calibri"/>
        </w:rPr>
      </w:pPr>
      <w:r w:rsidRPr="00AE1C15">
        <w:rPr>
          <w:rFonts w:ascii="Calibri" w:hAnsi="Calibri"/>
        </w:rPr>
        <w:t>Acceleration is key to successful auto racing—and to successful tax avoidance – for NASCAR owners. Businesses are allowed to deduct costs from income before paying taxes. “Operating expenses”—the cost of goods or services that get used up right away, like salaries, supplies and utilities—can be deducted in their entirety the year they’re incurred</w:t>
      </w:r>
      <w:r w:rsidR="000076FA">
        <w:rPr>
          <w:rFonts w:ascii="Calibri" w:hAnsi="Calibri"/>
        </w:rPr>
        <w:t xml:space="preserve">. </w:t>
      </w:r>
      <w:r w:rsidRPr="00AE1C15">
        <w:rPr>
          <w:rFonts w:ascii="Calibri" w:hAnsi="Calibri"/>
        </w:rPr>
        <w:t xml:space="preserve">But “capital expenses”—the cost of long-term investments like new buildings and equipment—must be deducted (“depreciated”) piecemeal over time, to reflect their continued usefulness and slow loss of value. </w:t>
      </w:r>
    </w:p>
    <w:p w14:paraId="7989624E" w14:textId="77777777" w:rsidR="009A6E8D" w:rsidRPr="00AE1C15" w:rsidRDefault="009A6E8D" w:rsidP="009A6E8D">
      <w:pPr>
        <w:rPr>
          <w:rFonts w:ascii="Calibri" w:hAnsi="Calibri"/>
        </w:rPr>
      </w:pPr>
    </w:p>
    <w:p w14:paraId="268D437F" w14:textId="77777777" w:rsidR="009A6E8D" w:rsidRPr="00AE1C15" w:rsidRDefault="009A6E8D" w:rsidP="009A6E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AE1C15">
        <w:rPr>
          <w:rFonts w:ascii="Calibri" w:hAnsi="Calibri"/>
        </w:rPr>
        <w:t xml:space="preserve">The faster you can depreciate an asset—the faster you can deduct the full cost—the faster you cut your taxes. The NASCAR tax credit allows motor track owners to accelerate the depreciation of their tracks, </w:t>
      </w:r>
      <w:hyperlink r:id="rId24" w:history="1">
        <w:r w:rsidRPr="00AE1C15">
          <w:rPr>
            <w:rStyle w:val="Hyperlink"/>
            <w:rFonts w:ascii="Calibri" w:eastAsia="Calibri" w:hAnsi="Calibri"/>
            <w:color w:val="0070C0"/>
            <w:szCs w:val="22"/>
          </w:rPr>
          <w:t>writing off the full cost in just seven years, instead of up to 39 years</w:t>
        </w:r>
      </w:hyperlink>
      <w:r w:rsidRPr="00AE1C15">
        <w:rPr>
          <w:rStyle w:val="Hyperlink"/>
          <w:rFonts w:ascii="Calibri" w:eastAsia="Calibri" w:hAnsi="Calibri"/>
          <w:color w:val="0070C0"/>
          <w:szCs w:val="22"/>
        </w:rPr>
        <w:t xml:space="preserve"> like other business property</w:t>
      </w:r>
      <w:r w:rsidRPr="00AE1C15">
        <w:rPr>
          <w:rStyle w:val="Hyperlink"/>
          <w:rFonts w:ascii="Calibri" w:eastAsia="Calibri" w:hAnsi="Calibri"/>
          <w:szCs w:val="22"/>
        </w:rPr>
        <w:t>.</w:t>
      </w:r>
      <w:r w:rsidRPr="00AE1C15">
        <w:rPr>
          <w:rStyle w:val="EndnoteReference"/>
          <w:rFonts w:ascii="Calibri" w:hAnsi="Calibri"/>
        </w:rPr>
        <w:endnoteReference w:id="17"/>
      </w:r>
      <w:r w:rsidRPr="00AE1C15">
        <w:rPr>
          <w:rFonts w:ascii="Calibri" w:hAnsi="Calibri"/>
        </w:rPr>
        <w:t xml:space="preserve"> </w:t>
      </w:r>
      <w:r w:rsidRPr="00AE1C15">
        <w:rPr>
          <w:rFonts w:ascii="Calibri" w:hAnsi="Calibri"/>
          <w:i/>
        </w:rPr>
        <w:t>America’s families are hitting the wall because of government budget cuts, but the owners of NASCAR racetracks are speeding ahead, thanks to their special tax extender.</w:t>
      </w:r>
      <w:r w:rsidRPr="00AE1C15">
        <w:rPr>
          <w:rFonts w:ascii="Calibri" w:hAnsi="Calibri"/>
        </w:rPr>
        <w:t xml:space="preserve"> </w:t>
      </w:r>
    </w:p>
    <w:p w14:paraId="42C63B01" w14:textId="19505D98" w:rsidR="00EF64AE" w:rsidRDefault="00EF64AE">
      <w:pPr>
        <w:rPr>
          <w:rFonts w:ascii="Calibri" w:hAnsi="Calibri" w:cs="Calibri"/>
          <w:b/>
          <w:color w:val="0477AE"/>
          <w:szCs w:val="24"/>
        </w:rPr>
      </w:pPr>
    </w:p>
    <w:p w14:paraId="192A7721" w14:textId="49865DB8" w:rsidR="009A6E8D" w:rsidRPr="00AE1C15" w:rsidRDefault="009A6E8D" w:rsidP="006C7169">
      <w:pPr>
        <w:rPr>
          <w:rFonts w:ascii="Calibri" w:hAnsi="Calibri" w:cs="Calibri"/>
          <w:b/>
          <w:color w:val="0477AE"/>
          <w:szCs w:val="24"/>
        </w:rPr>
      </w:pPr>
      <w:r w:rsidRPr="00AE1C15">
        <w:rPr>
          <w:rFonts w:ascii="Calibri" w:hAnsi="Calibri" w:cs="Calibri"/>
          <w:b/>
          <w:color w:val="0477AE"/>
          <w:szCs w:val="24"/>
        </w:rPr>
        <w:t xml:space="preserve">FINANCIAL BLOCKBUSTER: SPECIAL EXPENSING FOR FILM &amp; TV PRODUCTION </w:t>
      </w:r>
    </w:p>
    <w:p w14:paraId="0D28EAE2" w14:textId="6CD99AD6" w:rsidR="009A6E8D" w:rsidRPr="00AE1C15" w:rsidRDefault="00A57775" w:rsidP="009A6E8D">
      <w:pPr>
        <w:rPr>
          <w:rFonts w:ascii="Calibri" w:hAnsi="Calibri"/>
        </w:rPr>
      </w:pPr>
      <w:hyperlink r:id="rId25" w:history="1">
        <w:r w:rsidR="009A6E8D" w:rsidRPr="00AE1C15">
          <w:rPr>
            <w:rStyle w:val="Hyperlink"/>
            <w:rFonts w:ascii="Calibri" w:eastAsia="Calibri" w:hAnsi="Calibri"/>
            <w:color w:val="0070C0"/>
            <w:szCs w:val="22"/>
          </w:rPr>
          <w:t>$1.</w:t>
        </w:r>
        <w:r w:rsidR="004332AD">
          <w:rPr>
            <w:rStyle w:val="Hyperlink"/>
            <w:rFonts w:ascii="Calibri" w:eastAsia="Calibri" w:hAnsi="Calibri"/>
            <w:color w:val="0070C0"/>
            <w:szCs w:val="22"/>
          </w:rPr>
          <w:t>2</w:t>
        </w:r>
        <w:r w:rsidR="009A6E8D" w:rsidRPr="00AE1C15">
          <w:rPr>
            <w:rStyle w:val="Hyperlink"/>
            <w:rFonts w:ascii="Calibri" w:eastAsia="Calibri" w:hAnsi="Calibri"/>
            <w:color w:val="0070C0"/>
            <w:szCs w:val="22"/>
          </w:rPr>
          <w:t xml:space="preserve"> Billion</w:t>
        </w:r>
      </w:hyperlink>
      <w:r w:rsidR="004332AD">
        <w:rPr>
          <w:rStyle w:val="Hyperlink"/>
          <w:rFonts w:ascii="Calibri" w:eastAsia="Calibri" w:hAnsi="Calibri"/>
          <w:color w:val="0070C0"/>
          <w:szCs w:val="22"/>
        </w:rPr>
        <w:t xml:space="preserve"> over 10 Years</w:t>
      </w:r>
      <w:r w:rsidR="009A6E8D" w:rsidRPr="00AE1C15">
        <w:rPr>
          <w:rStyle w:val="EndnoteReference"/>
          <w:rFonts w:ascii="Calibri" w:hAnsi="Calibri"/>
        </w:rPr>
        <w:endnoteReference w:id="18"/>
      </w:r>
      <w:r w:rsidR="009A6E8D" w:rsidRPr="00AE1C15">
        <w:rPr>
          <w:rFonts w:ascii="Calibri" w:hAnsi="Calibri"/>
        </w:rPr>
        <w:t xml:space="preserve">  </w:t>
      </w:r>
      <w:hyperlink r:id="rId26" w:history="1">
        <w:r w:rsidR="009A6E8D" w:rsidRPr="00AE1C15">
          <w:rPr>
            <w:rStyle w:val="Hyperlink"/>
            <w:rFonts w:ascii="Calibri" w:eastAsia="Calibri" w:hAnsi="Calibri"/>
            <w:color w:val="0070C0"/>
            <w:szCs w:val="22"/>
          </w:rPr>
          <w:t>Extended since 2004</w:t>
        </w:r>
      </w:hyperlink>
      <w:r w:rsidR="009A6E8D" w:rsidRPr="00AE1C15">
        <w:rPr>
          <w:rStyle w:val="EndnoteReference"/>
          <w:rFonts w:ascii="Calibri" w:hAnsi="Calibri"/>
        </w:rPr>
        <w:endnoteReference w:id="19"/>
      </w:r>
      <w:r w:rsidR="009A6E8D" w:rsidRPr="00AE1C15">
        <w:rPr>
          <w:rFonts w:ascii="Calibri" w:hAnsi="Calibri"/>
        </w:rPr>
        <w:t xml:space="preserve"> </w:t>
      </w:r>
    </w:p>
    <w:p w14:paraId="75C794EC" w14:textId="77777777" w:rsidR="009A6E8D" w:rsidRPr="00AE1C15" w:rsidRDefault="009A6E8D" w:rsidP="009A6E8D">
      <w:pPr>
        <w:rPr>
          <w:rFonts w:ascii="Calibri" w:hAnsi="Calibri"/>
        </w:rPr>
      </w:pPr>
    </w:p>
    <w:p w14:paraId="04A9241D" w14:textId="2394949B" w:rsidR="009A6E8D" w:rsidRPr="00AE1C15" w:rsidRDefault="009A6E8D" w:rsidP="009A6E8D">
      <w:pPr>
        <w:rPr>
          <w:rFonts w:ascii="Calibri" w:hAnsi="Calibri"/>
        </w:rPr>
      </w:pPr>
      <w:r w:rsidRPr="00AE1C15">
        <w:rPr>
          <w:rFonts w:ascii="Calibri" w:hAnsi="Calibri"/>
        </w:rPr>
        <w:t xml:space="preserve">You wouldn’t think you’d need to reward Hollywood for working in Hollywood. But that’s just what special expensing for film and television production does: it allows studios to </w:t>
      </w:r>
      <w:hyperlink r:id="rId27" w:history="1">
        <w:r w:rsidRPr="00AE1C15">
          <w:rPr>
            <w:rStyle w:val="Hyperlink"/>
            <w:rFonts w:ascii="Calibri" w:eastAsia="Calibri" w:hAnsi="Calibri"/>
            <w:color w:val="0070C0"/>
            <w:szCs w:val="22"/>
          </w:rPr>
          <w:t xml:space="preserve">immediately </w:t>
        </w:r>
        <w:r w:rsidRPr="00AE1C15">
          <w:rPr>
            <w:rStyle w:val="Hyperlink"/>
            <w:rFonts w:ascii="Calibri" w:eastAsia="Calibri" w:hAnsi="Calibri"/>
            <w:color w:val="0070C0"/>
            <w:szCs w:val="22"/>
          </w:rPr>
          <w:lastRenderedPageBreak/>
          <w:t>deduct from their taxes up to $15 million of the expense of making movies and TV shows in the United States</w:t>
        </w:r>
      </w:hyperlink>
      <w:r w:rsidRPr="00AE1C15">
        <w:rPr>
          <w:rStyle w:val="EndnoteReference"/>
          <w:rFonts w:ascii="Calibri" w:hAnsi="Calibri"/>
        </w:rPr>
        <w:endnoteReference w:id="20"/>
      </w:r>
      <w:r w:rsidRPr="00AE1C15">
        <w:rPr>
          <w:rFonts w:ascii="Calibri" w:hAnsi="Calibri"/>
        </w:rPr>
        <w:t>—where they usually make them anyway</w:t>
      </w:r>
      <w:r w:rsidR="000076FA">
        <w:rPr>
          <w:rFonts w:ascii="Calibri" w:hAnsi="Calibri"/>
        </w:rPr>
        <w:t xml:space="preserve">.  </w:t>
      </w:r>
      <w:r w:rsidRPr="00AE1C15">
        <w:rPr>
          <w:rFonts w:ascii="Calibri" w:hAnsi="Calibri"/>
          <w:i/>
        </w:rPr>
        <w:t>Who needs a great script when you can rely on the tax code to guarantee a hit?</w:t>
      </w:r>
    </w:p>
    <w:p w14:paraId="67DB221B" w14:textId="77777777" w:rsidR="009A6E8D" w:rsidRPr="00AE1C15" w:rsidRDefault="009A6E8D" w:rsidP="009A6E8D">
      <w:pPr>
        <w:rPr>
          <w:rFonts w:ascii="Calibri" w:hAnsi="Calibri"/>
        </w:rPr>
      </w:pPr>
    </w:p>
    <w:p w14:paraId="5CB86124" w14:textId="77777777" w:rsidR="00A57BD4" w:rsidRPr="00AE1C15" w:rsidRDefault="00A57BD4" w:rsidP="009A6E8D">
      <w:pPr>
        <w:rPr>
          <w:rFonts w:ascii="Calibri" w:hAnsi="Calibri"/>
          <w:sz w:val="12"/>
          <w:szCs w:val="12"/>
        </w:rPr>
      </w:pPr>
    </w:p>
    <w:p w14:paraId="28737B2B" w14:textId="7E957EF5" w:rsidR="009A6E8D" w:rsidRPr="00AE1C15" w:rsidRDefault="009A6E8D" w:rsidP="009A6E8D">
      <w:pPr>
        <w:rPr>
          <w:rStyle w:val="Hyperlink"/>
          <w:rFonts w:ascii="Calibri" w:eastAsia="Calibri" w:hAnsi="Calibri"/>
          <w:szCs w:val="22"/>
        </w:rPr>
      </w:pPr>
      <w:r w:rsidRPr="00AE1C15">
        <w:rPr>
          <w:rFonts w:ascii="Calibri" w:hAnsi="Calibri" w:cs="Calibri"/>
          <w:b/>
          <w:color w:val="0477AE"/>
          <w:szCs w:val="24"/>
        </w:rPr>
        <w:t>THOROUGHBRED LOOPHOLE: DEPRECIATION CLASSIFICATION FOR CERTAIN RACE HORSES</w:t>
      </w:r>
      <w:r w:rsidRPr="00AE1C15">
        <w:rPr>
          <w:rFonts w:ascii="Calibri" w:hAnsi="Calibri"/>
        </w:rPr>
        <w:t xml:space="preserve"> </w:t>
      </w:r>
      <w:hyperlink r:id="rId28" w:history="1">
        <w:r w:rsidRPr="00AE1C15">
          <w:rPr>
            <w:rStyle w:val="Hyperlink"/>
            <w:rFonts w:ascii="Calibri" w:eastAsia="Calibri" w:hAnsi="Calibri"/>
            <w:color w:val="0070C0"/>
            <w:szCs w:val="22"/>
          </w:rPr>
          <w:t>$49</w:t>
        </w:r>
        <w:r w:rsidR="004332AD">
          <w:rPr>
            <w:rStyle w:val="Hyperlink"/>
            <w:rFonts w:ascii="Calibri" w:eastAsia="Calibri" w:hAnsi="Calibri"/>
            <w:color w:val="0070C0"/>
            <w:szCs w:val="22"/>
          </w:rPr>
          <w:t>6</w:t>
        </w:r>
        <w:r w:rsidRPr="00AE1C15">
          <w:rPr>
            <w:rStyle w:val="Hyperlink"/>
            <w:rFonts w:ascii="Calibri" w:eastAsia="Calibri" w:hAnsi="Calibri"/>
            <w:color w:val="0070C0"/>
            <w:szCs w:val="22"/>
          </w:rPr>
          <w:t xml:space="preserve"> Million</w:t>
        </w:r>
      </w:hyperlink>
      <w:r w:rsidR="00741C82">
        <w:rPr>
          <w:rStyle w:val="Hyperlink"/>
          <w:rFonts w:ascii="Calibri" w:eastAsia="Calibri" w:hAnsi="Calibri"/>
          <w:color w:val="0070C0"/>
          <w:szCs w:val="22"/>
        </w:rPr>
        <w:t xml:space="preserve"> over 10 years</w:t>
      </w:r>
      <w:r w:rsidRPr="00AE1C15">
        <w:rPr>
          <w:rStyle w:val="EndnoteReference"/>
          <w:rFonts w:ascii="Calibri" w:hAnsi="Calibri"/>
        </w:rPr>
        <w:endnoteReference w:id="21"/>
      </w:r>
      <w:r w:rsidRPr="00AE1C15">
        <w:rPr>
          <w:rFonts w:ascii="Calibri" w:hAnsi="Calibri"/>
        </w:rPr>
        <w:t xml:space="preserve">  </w:t>
      </w:r>
      <w:hyperlink r:id="rId29" w:history="1">
        <w:r w:rsidRPr="00AE1C15">
          <w:rPr>
            <w:rStyle w:val="Hyperlink"/>
            <w:rFonts w:ascii="Calibri" w:eastAsia="Calibri" w:hAnsi="Calibri"/>
            <w:color w:val="0070C0"/>
            <w:szCs w:val="22"/>
          </w:rPr>
          <w:t>Extended since 2008</w:t>
        </w:r>
      </w:hyperlink>
      <w:r w:rsidRPr="00AE1C15">
        <w:rPr>
          <w:rStyle w:val="EndnoteReference"/>
          <w:rFonts w:ascii="Calibri" w:hAnsi="Calibri"/>
        </w:rPr>
        <w:endnoteReference w:id="22"/>
      </w:r>
    </w:p>
    <w:p w14:paraId="7148F955" w14:textId="77777777" w:rsidR="009A6E8D" w:rsidRPr="00AE1C15" w:rsidRDefault="009A6E8D" w:rsidP="009A6E8D">
      <w:pPr>
        <w:rPr>
          <w:rStyle w:val="Hyperlink"/>
          <w:rFonts w:ascii="Calibri" w:eastAsia="Calibri" w:hAnsi="Calibri"/>
          <w:szCs w:val="22"/>
        </w:rPr>
      </w:pPr>
    </w:p>
    <w:p w14:paraId="1792347B" w14:textId="1BF7DC87" w:rsidR="009A6E8D" w:rsidRPr="00AE1C15" w:rsidRDefault="009A6E8D" w:rsidP="009A6E8D">
      <w:pPr>
        <w:rPr>
          <w:rFonts w:ascii="Calibri" w:hAnsi="Calibri"/>
        </w:rPr>
      </w:pPr>
      <w:r w:rsidRPr="00AE1C15">
        <w:rPr>
          <w:rStyle w:val="Hyperlink"/>
          <w:rFonts w:ascii="Calibri" w:eastAsia="Calibri" w:hAnsi="Calibri"/>
          <w:color w:val="auto"/>
          <w:szCs w:val="22"/>
          <w:u w:val="none"/>
        </w:rPr>
        <w:t>Depreciable business property usually means something like a bulldozer or factory—not something that can trot over and eat a carrot from your hand</w:t>
      </w:r>
      <w:r w:rsidR="000076FA">
        <w:rPr>
          <w:rStyle w:val="Hyperlink"/>
          <w:rFonts w:ascii="Calibri" w:eastAsia="Calibri" w:hAnsi="Calibri"/>
          <w:color w:val="auto"/>
          <w:szCs w:val="22"/>
          <w:u w:val="none"/>
        </w:rPr>
        <w:t xml:space="preserve">. </w:t>
      </w:r>
      <w:r w:rsidRPr="00AE1C15">
        <w:rPr>
          <w:rStyle w:val="Hyperlink"/>
          <w:rFonts w:ascii="Calibri" w:eastAsia="Calibri" w:hAnsi="Calibri"/>
          <w:color w:val="auto"/>
          <w:szCs w:val="22"/>
          <w:u w:val="none"/>
        </w:rPr>
        <w:t>But wealthy horse breeders spend a lot of money on their property-on-the-hoof, and the faster they can deduct that cost, the faster they can save on their taxes. So when the two U.S. senators (including the Senate Minority Leader</w:t>
      </w:r>
      <w:r w:rsidR="004850D0">
        <w:rPr>
          <w:rStyle w:val="Hyperlink"/>
          <w:rFonts w:ascii="Calibri" w:eastAsia="Calibri" w:hAnsi="Calibri"/>
          <w:color w:val="auto"/>
          <w:szCs w:val="22"/>
          <w:u w:val="none"/>
        </w:rPr>
        <w:t>,</w:t>
      </w:r>
      <w:r w:rsidRPr="00AE1C15">
        <w:rPr>
          <w:rStyle w:val="Hyperlink"/>
          <w:rFonts w:ascii="Calibri" w:eastAsia="Calibri" w:hAnsi="Calibri"/>
          <w:color w:val="auto"/>
          <w:szCs w:val="22"/>
          <w:u w:val="none"/>
        </w:rPr>
        <w:t xml:space="preserve"> Mitch McConnell) from the state that hosts the Kentucky Derby offered up legislation</w:t>
      </w:r>
      <w:r w:rsidRPr="00AE1C15">
        <w:rPr>
          <w:rStyle w:val="Hyperlink"/>
          <w:rFonts w:ascii="Calibri" w:eastAsia="Calibri" w:hAnsi="Calibri"/>
          <w:szCs w:val="22"/>
          <w:u w:val="none"/>
        </w:rPr>
        <w:t xml:space="preserve"> </w:t>
      </w:r>
      <w:hyperlink r:id="rId30" w:history="1">
        <w:r w:rsidRPr="00AE1C15">
          <w:rPr>
            <w:rStyle w:val="Hyperlink"/>
            <w:rFonts w:ascii="Calibri" w:eastAsia="Calibri" w:hAnsi="Calibri"/>
            <w:color w:val="0070C0"/>
            <w:szCs w:val="22"/>
          </w:rPr>
          <w:t>to speed up depreciation of horses from seven years to just three</w:t>
        </w:r>
      </w:hyperlink>
      <w:r w:rsidRPr="00AE1C15">
        <w:rPr>
          <w:rStyle w:val="Hyperlink"/>
          <w:rFonts w:ascii="Calibri" w:eastAsia="Calibri" w:hAnsi="Calibri"/>
          <w:szCs w:val="22"/>
        </w:rPr>
        <w:t>,</w:t>
      </w:r>
      <w:r w:rsidRPr="00AE1C15">
        <w:rPr>
          <w:rStyle w:val="EndnoteReference"/>
          <w:rFonts w:ascii="Calibri" w:hAnsi="Calibri"/>
        </w:rPr>
        <w:endnoteReference w:id="23"/>
      </w:r>
      <w:r w:rsidRPr="00AE1C15">
        <w:rPr>
          <w:rStyle w:val="Hyperlink"/>
          <w:rFonts w:ascii="Calibri" w:eastAsia="Calibri" w:hAnsi="Calibri"/>
          <w:szCs w:val="22"/>
          <w:u w:val="none"/>
        </w:rPr>
        <w:t xml:space="preserve"> </w:t>
      </w:r>
      <w:r w:rsidRPr="00AE1C15">
        <w:rPr>
          <w:rStyle w:val="Hyperlink"/>
          <w:rFonts w:ascii="Calibri" w:eastAsia="Calibri" w:hAnsi="Calibri"/>
          <w:color w:val="auto"/>
          <w:szCs w:val="22"/>
          <w:u w:val="none"/>
        </w:rPr>
        <w:t xml:space="preserve">it was off to the races. </w:t>
      </w:r>
      <w:r w:rsidRPr="00AE1C15">
        <w:rPr>
          <w:rStyle w:val="Hyperlink"/>
          <w:rFonts w:ascii="Calibri" w:eastAsia="Calibri" w:hAnsi="Calibri"/>
          <w:i/>
          <w:color w:val="auto"/>
          <w:szCs w:val="22"/>
          <w:u w:val="none"/>
        </w:rPr>
        <w:t>Unfortunately, in this legislative horsing around the needs of the middle class come in dead last.</w:t>
      </w:r>
      <w:r w:rsidRPr="00AE1C15">
        <w:rPr>
          <w:rStyle w:val="Hyperlink"/>
          <w:rFonts w:ascii="Calibri" w:eastAsia="Calibri" w:hAnsi="Calibri"/>
          <w:color w:val="auto"/>
          <w:szCs w:val="22"/>
          <w:u w:val="none"/>
        </w:rPr>
        <w:t xml:space="preserve"> </w:t>
      </w:r>
    </w:p>
    <w:p w14:paraId="5EF41D3C" w14:textId="77777777" w:rsidR="009A6E8D" w:rsidRPr="00AE1C15" w:rsidRDefault="009A6E8D" w:rsidP="009A6E8D">
      <w:pPr>
        <w:rPr>
          <w:rFonts w:ascii="Calibri" w:hAnsi="Calibri"/>
        </w:rPr>
      </w:pPr>
    </w:p>
    <w:p w14:paraId="56127CBC" w14:textId="77777777" w:rsidR="00A57BD4" w:rsidRPr="00AE1C15" w:rsidRDefault="00A57BD4" w:rsidP="009A6E8D">
      <w:pPr>
        <w:rPr>
          <w:rFonts w:ascii="Calibri" w:hAnsi="Calibri"/>
          <w:sz w:val="12"/>
          <w:szCs w:val="12"/>
        </w:rPr>
      </w:pPr>
    </w:p>
    <w:p w14:paraId="524789B9" w14:textId="77777777" w:rsidR="009A6E8D" w:rsidRPr="00AE1C15" w:rsidRDefault="006C7169">
      <w:pPr>
        <w:rPr>
          <w:rFonts w:ascii="Calibri" w:hAnsi="Calibri" w:cs="Calibri"/>
          <w:b/>
          <w:color w:val="0477AE"/>
          <w:szCs w:val="24"/>
        </w:rPr>
      </w:pPr>
      <w:r w:rsidRPr="00AE1C15">
        <w:rPr>
          <w:rFonts w:ascii="Calibri" w:hAnsi="Calibri" w:cs="Calibri"/>
          <w:b/>
          <w:color w:val="0477AE"/>
          <w:szCs w:val="24"/>
        </w:rPr>
        <w:t>ENDNOTES</w:t>
      </w:r>
    </w:p>
    <w:sectPr w:rsidR="009A6E8D" w:rsidRPr="00AE1C15" w:rsidSect="00A57BD4">
      <w:headerReference w:type="default" r:id="rId31"/>
      <w:footerReference w:type="default" r:id="rId32"/>
      <w:footerReference w:type="first" r:id="rId33"/>
      <w:endnotePr>
        <w:numFmt w:val="decimal"/>
      </w:endnotePr>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3F249" w14:textId="77777777" w:rsidR="00A57775" w:rsidRDefault="00A57775">
      <w:r>
        <w:separator/>
      </w:r>
    </w:p>
  </w:endnote>
  <w:endnote w:type="continuationSeparator" w:id="0">
    <w:p w14:paraId="16061C41" w14:textId="77777777" w:rsidR="00A57775" w:rsidRDefault="00A57775">
      <w:r>
        <w:continuationSeparator/>
      </w:r>
    </w:p>
  </w:endnote>
  <w:endnote w:id="1">
    <w:p w14:paraId="7CF2C40C" w14:textId="2BFA88C5" w:rsidR="004850D0" w:rsidRPr="00AE1C15" w:rsidRDefault="004850D0" w:rsidP="009A6E8D">
      <w:pPr>
        <w:rPr>
          <w:rFonts w:ascii="Calibri" w:hAnsi="Calibri"/>
          <w:sz w:val="20"/>
        </w:rPr>
      </w:pPr>
      <w:r w:rsidRPr="00AE1C15">
        <w:rPr>
          <w:rStyle w:val="EndnoteReference"/>
          <w:rFonts w:ascii="Calibri" w:hAnsi="Calibri"/>
          <w:sz w:val="20"/>
        </w:rPr>
        <w:endnoteRef/>
      </w:r>
      <w:r w:rsidRPr="00AE1C15">
        <w:rPr>
          <w:rFonts w:ascii="Calibri" w:hAnsi="Calibri"/>
          <w:sz w:val="20"/>
        </w:rPr>
        <w:t xml:space="preserve"> Congressional Budget Office (CBO)</w:t>
      </w:r>
      <w:r w:rsidRPr="00AE1C15">
        <w:rPr>
          <w:rStyle w:val="z-BottomofFormChar"/>
          <w:rFonts w:ascii="Calibri" w:hAnsi="Calibri"/>
          <w:sz w:val="20"/>
          <w:szCs w:val="20"/>
        </w:rPr>
        <w:endnoteRef/>
      </w:r>
      <w:r w:rsidRPr="00AE1C15">
        <w:rPr>
          <w:rStyle w:val="z-BottomofFormChar"/>
          <w:rFonts w:ascii="Calibri" w:hAnsi="Calibri"/>
          <w:sz w:val="20"/>
          <w:szCs w:val="20"/>
        </w:rPr>
        <w:t>CBOC</w:t>
      </w:r>
      <w:r w:rsidRPr="00AE1C15">
        <w:rPr>
          <w:rFonts w:ascii="Calibri" w:hAnsi="Calibri"/>
          <w:sz w:val="20"/>
        </w:rPr>
        <w:t>, “</w:t>
      </w:r>
      <w:r w:rsidRPr="00AE1C15">
        <w:rPr>
          <w:rFonts w:ascii="Calibri" w:eastAsia="Times New Roman" w:hAnsi="Calibri"/>
          <w:sz w:val="20"/>
        </w:rPr>
        <w:t xml:space="preserve">Individual Income Tax Receipts and the Individual Tax Base—February 2014 Baseline” (Feb. 4, 2014), </w:t>
      </w:r>
      <w:r w:rsidRPr="00AE1C15">
        <w:rPr>
          <w:rFonts w:ascii="Calibri" w:hAnsi="Calibri"/>
          <w:sz w:val="20"/>
        </w:rPr>
        <w:t xml:space="preserve">as modified by Americans for Tax Fairness. </w:t>
      </w:r>
      <w:hyperlink r:id="rId1" w:history="1">
        <w:r w:rsidR="004332AD" w:rsidRPr="004332AD">
          <w:rPr>
            <w:rStyle w:val="Hyperlink"/>
            <w:rFonts w:asciiTheme="minorHAnsi" w:hAnsiTheme="minorHAnsi"/>
            <w:sz w:val="20"/>
          </w:rPr>
          <w:t>http://bit.ly/1jbDLDM</w:t>
        </w:r>
      </w:hyperlink>
      <w:r w:rsidR="004332AD">
        <w:rPr>
          <w:rStyle w:val="protocol"/>
          <w:rFonts w:asciiTheme="minorHAnsi" w:hAnsiTheme="minorHAnsi"/>
          <w:b/>
          <w:color w:val="0000FF"/>
          <w:sz w:val="20"/>
          <w:u w:val="single"/>
        </w:rPr>
        <w:t xml:space="preserve"> </w:t>
      </w:r>
      <w:r w:rsidR="004332AD" w:rsidRPr="00DD1D75">
        <w:rPr>
          <w:rFonts w:ascii="Calibri" w:hAnsi="Calibri"/>
          <w:sz w:val="20"/>
        </w:rPr>
        <w:t>The full ten-year cost is calculated from 201</w:t>
      </w:r>
      <w:r w:rsidR="004332AD">
        <w:rPr>
          <w:rFonts w:ascii="Calibri" w:hAnsi="Calibri"/>
          <w:sz w:val="20"/>
        </w:rPr>
        <w:t>4</w:t>
      </w:r>
      <w:r w:rsidR="004332AD" w:rsidRPr="00DD1D75">
        <w:rPr>
          <w:rFonts w:ascii="Calibri" w:hAnsi="Calibri"/>
          <w:sz w:val="20"/>
        </w:rPr>
        <w:t xml:space="preserve"> through 202</w:t>
      </w:r>
      <w:r w:rsidR="004332AD">
        <w:rPr>
          <w:rFonts w:ascii="Calibri" w:hAnsi="Calibri"/>
          <w:sz w:val="20"/>
        </w:rPr>
        <w:t>3</w:t>
      </w:r>
      <w:r w:rsidR="004332AD" w:rsidRPr="00DD1D75">
        <w:rPr>
          <w:rFonts w:ascii="Calibri" w:hAnsi="Calibri"/>
          <w:sz w:val="20"/>
        </w:rPr>
        <w:t xml:space="preserve">. </w:t>
      </w:r>
      <w:r w:rsidR="004332AD">
        <w:rPr>
          <w:rFonts w:ascii="Calibri" w:hAnsi="Calibri"/>
          <w:sz w:val="20"/>
        </w:rPr>
        <w:t xml:space="preserve">The $691 billion figure </w:t>
      </w:r>
      <w:r w:rsidR="004332AD" w:rsidRPr="00DD1D75">
        <w:rPr>
          <w:rFonts w:ascii="Calibri" w:hAnsi="Calibri"/>
          <w:sz w:val="20"/>
        </w:rPr>
        <w:t>include</w:t>
      </w:r>
      <w:r w:rsidR="004332AD">
        <w:rPr>
          <w:rFonts w:ascii="Calibri" w:hAnsi="Calibri"/>
          <w:sz w:val="20"/>
        </w:rPr>
        <w:t>s</w:t>
      </w:r>
      <w:r w:rsidR="004332AD" w:rsidRPr="00DD1D75">
        <w:rPr>
          <w:rFonts w:ascii="Calibri" w:hAnsi="Calibri"/>
          <w:sz w:val="20"/>
        </w:rPr>
        <w:t xml:space="preserve"> the cost of bonus depreciation ($2</w:t>
      </w:r>
      <w:r w:rsidR="004332AD">
        <w:rPr>
          <w:rFonts w:ascii="Calibri" w:hAnsi="Calibri"/>
          <w:sz w:val="20"/>
        </w:rPr>
        <w:t>81</w:t>
      </w:r>
      <w:r w:rsidR="004332AD" w:rsidRPr="00DD1D75">
        <w:rPr>
          <w:rFonts w:ascii="Calibri" w:hAnsi="Calibri"/>
          <w:sz w:val="20"/>
        </w:rPr>
        <w:t xml:space="preserve"> billion).</w:t>
      </w:r>
      <w:hyperlink w:history="1"/>
    </w:p>
  </w:endnote>
  <w:endnote w:id="2">
    <w:p w14:paraId="085808CF" w14:textId="36ACB580" w:rsidR="004850D0" w:rsidRPr="00AE1C15" w:rsidRDefault="004850D0" w:rsidP="009A6E8D">
      <w:pPr>
        <w:rPr>
          <w:rFonts w:ascii="Calibri" w:eastAsia="Times New Roman" w:hAnsi="Calibri"/>
          <w:sz w:val="20"/>
        </w:rPr>
      </w:pPr>
      <w:r w:rsidRPr="00AE1C15">
        <w:rPr>
          <w:rStyle w:val="EndnoteReference"/>
          <w:rFonts w:ascii="Calibri" w:eastAsia="Times New Roman" w:hAnsi="Calibri"/>
          <w:bCs/>
          <w:sz w:val="20"/>
        </w:rPr>
        <w:endnoteRef/>
      </w:r>
      <w:r w:rsidRPr="00AE1C15">
        <w:rPr>
          <w:rStyle w:val="EndnoteReference"/>
          <w:rFonts w:ascii="Calibri" w:eastAsia="Times New Roman" w:hAnsi="Calibri"/>
          <w:bCs/>
          <w:sz w:val="20"/>
        </w:rPr>
        <w:t xml:space="preserve"> </w:t>
      </w:r>
      <w:r w:rsidRPr="00AE1C15">
        <w:rPr>
          <w:rFonts w:ascii="Calibri" w:hAnsi="Calibri"/>
          <w:sz w:val="20"/>
        </w:rPr>
        <w:t>CBO</w:t>
      </w:r>
      <w:r w:rsidRPr="00AE1C15">
        <w:rPr>
          <w:rStyle w:val="z-BottomofFormChar"/>
          <w:rFonts w:ascii="Calibri" w:hAnsi="Calibri"/>
          <w:sz w:val="20"/>
          <w:szCs w:val="20"/>
        </w:rPr>
        <w:endnoteRef/>
      </w:r>
      <w:r w:rsidRPr="00AE1C15">
        <w:rPr>
          <w:rStyle w:val="z-BottomofFormChar"/>
          <w:rFonts w:ascii="Calibri" w:hAnsi="Calibri"/>
          <w:sz w:val="20"/>
          <w:szCs w:val="20"/>
        </w:rPr>
        <w:t>CBOC</w:t>
      </w:r>
      <w:r w:rsidRPr="00AE1C15">
        <w:rPr>
          <w:rFonts w:ascii="Calibri" w:hAnsi="Calibri"/>
          <w:sz w:val="20"/>
        </w:rPr>
        <w:t>, “</w:t>
      </w:r>
      <w:r w:rsidRPr="00AE1C15">
        <w:rPr>
          <w:rFonts w:ascii="Calibri" w:eastAsia="Times New Roman" w:hAnsi="Calibri"/>
          <w:sz w:val="20"/>
        </w:rPr>
        <w:t>Individual Income Tax Receipts,”</w:t>
      </w:r>
      <w:r w:rsidRPr="00AE1C15">
        <w:rPr>
          <w:rFonts w:ascii="Calibri" w:hAnsi="Calibri"/>
          <w:sz w:val="20"/>
        </w:rPr>
        <w:t xml:space="preserve"> see line 2</w:t>
      </w:r>
      <w:r w:rsidR="004332AD">
        <w:rPr>
          <w:rFonts w:ascii="Calibri" w:hAnsi="Calibri"/>
          <w:sz w:val="20"/>
        </w:rPr>
        <w:t>2</w:t>
      </w:r>
      <w:r w:rsidRPr="00AE1C15">
        <w:rPr>
          <w:rFonts w:ascii="Calibri" w:hAnsi="Calibri"/>
          <w:sz w:val="20"/>
        </w:rPr>
        <w:t>, Subpart F for Active Financing Income.</w:t>
      </w:r>
      <w:r w:rsidRPr="00AE1C15">
        <w:rPr>
          <w:rFonts w:ascii="Calibri" w:eastAsia="Times New Roman" w:hAnsi="Calibri"/>
          <w:sz w:val="20"/>
        </w:rPr>
        <w:t xml:space="preserve"> </w:t>
      </w:r>
      <w:hyperlink w:history="1"/>
    </w:p>
  </w:endnote>
  <w:endnote w:id="3">
    <w:p w14:paraId="345697D6" w14:textId="77777777" w:rsidR="004850D0" w:rsidRPr="009A6E8D" w:rsidRDefault="004850D0" w:rsidP="009A6E8D">
      <w:pPr>
        <w:pStyle w:val="Heading1"/>
        <w:ind w:left="0"/>
        <w:jc w:val="left"/>
      </w:pPr>
      <w:r w:rsidRPr="00AE1C15">
        <w:rPr>
          <w:rStyle w:val="EndnoteReference"/>
          <w:rFonts w:ascii="Calibri" w:hAnsi="Calibri"/>
          <w:b w:val="0"/>
          <w:color w:val="auto"/>
          <w:sz w:val="20"/>
        </w:rPr>
        <w:endnoteRef/>
      </w:r>
      <w:r w:rsidRPr="00AE1C15">
        <w:rPr>
          <w:rFonts w:ascii="Calibri" w:hAnsi="Calibri"/>
          <w:b w:val="0"/>
          <w:color w:val="auto"/>
          <w:sz w:val="20"/>
        </w:rPr>
        <w:t xml:space="preserve"> The Washington Post, “</w:t>
      </w:r>
      <w:r w:rsidRPr="00AE1C15">
        <w:rPr>
          <w:rFonts w:ascii="Calibri" w:eastAsia="Times New Roman" w:hAnsi="Calibri"/>
          <w:b w:val="0"/>
          <w:color w:val="auto"/>
          <w:sz w:val="20"/>
        </w:rPr>
        <w:t xml:space="preserve">’Active financing’ exemption for some businesses to cost taxpayers $9 billion” (Dec. 23, 2010). </w:t>
      </w:r>
      <w:hyperlink r:id="rId2" w:history="1">
        <w:r w:rsidRPr="00AE1C15">
          <w:rPr>
            <w:rStyle w:val="Hyperlink"/>
            <w:rFonts w:ascii="Calibri" w:eastAsia="Times New Roman" w:hAnsi="Calibri"/>
            <w:b w:val="0"/>
            <w:sz w:val="20"/>
          </w:rPr>
          <w:t>http://www.washingtonpost.com/wp-dyn/content/article/2010/12/22/AR2010122204963.html</w:t>
        </w:r>
      </w:hyperlink>
    </w:p>
  </w:endnote>
  <w:endnote w:id="4">
    <w:p w14:paraId="790BADC7" w14:textId="279B131B" w:rsidR="004850D0" w:rsidRPr="00AE1C15" w:rsidRDefault="004850D0" w:rsidP="009A6E8D">
      <w:pPr>
        <w:pStyle w:val="EndnoteText"/>
        <w:rPr>
          <w:lang w:val="en-US"/>
        </w:rPr>
      </w:pPr>
      <w:r w:rsidRPr="00AE1C15">
        <w:rPr>
          <w:rStyle w:val="EndnoteReference"/>
        </w:rPr>
        <w:endnoteRef/>
      </w:r>
      <w:r w:rsidRPr="00AE1C15">
        <w:t xml:space="preserve"> Citiz</w:t>
      </w:r>
      <w:r w:rsidR="007430FB">
        <w:t>ens for Tax Justice (CTJ), “Don</w:t>
      </w:r>
      <w:r w:rsidR="007430FB">
        <w:rPr>
          <w:lang w:val="en-US"/>
        </w:rPr>
        <w:t>’</w:t>
      </w:r>
      <w:r w:rsidRPr="00AE1C15">
        <w:t xml:space="preserve">t Renew the Offshore Tax Loopholes” (Aug. 2, 2012). </w:t>
      </w:r>
      <w:hyperlink r:id="rId3" w:anchor=".UupMvIVOQ7A" w:history="1">
        <w:r w:rsidRPr="00AE1C15">
          <w:rPr>
            <w:rStyle w:val="Hyperlink"/>
            <w:color w:val="0070C0"/>
          </w:rPr>
          <w:t>http://ctj.org/ctjreports/2012/08/dont_renew_the_offshore_tax_loopholes.php#.UupMvIVOQ7A</w:t>
        </w:r>
      </w:hyperlink>
    </w:p>
  </w:endnote>
  <w:endnote w:id="5">
    <w:p w14:paraId="327EAAC4" w14:textId="77777777" w:rsidR="006D3072" w:rsidRPr="00AE1C15" w:rsidRDefault="006D3072" w:rsidP="006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sz w:val="20"/>
        </w:rPr>
      </w:pPr>
      <w:r w:rsidRPr="00AE1C15">
        <w:rPr>
          <w:rStyle w:val="EndnoteReference"/>
          <w:rFonts w:ascii="Calibri" w:hAnsi="Calibri"/>
          <w:sz w:val="20"/>
        </w:rPr>
        <w:endnoteRef/>
      </w:r>
      <w:r w:rsidRPr="00AE1C15">
        <w:rPr>
          <w:rFonts w:ascii="Calibri" w:hAnsi="Calibri"/>
          <w:sz w:val="20"/>
        </w:rPr>
        <w:t xml:space="preserve"> CTJ, “</w:t>
      </w:r>
      <w:r w:rsidRPr="00AE1C15">
        <w:rPr>
          <w:rFonts w:ascii="Calibri" w:hAnsi="Calibri" w:cs="Helvetica"/>
          <w:sz w:val="20"/>
        </w:rPr>
        <w:t xml:space="preserve">Congress Should Offset the Cost of the ‘Tax Extenders,’ or Not Enact Them At All” (Dec. 12, 2013), pp. 4-5. </w:t>
      </w:r>
      <w:hyperlink r:id="rId4" w:history="1">
        <w:r w:rsidRPr="00AE1C15">
          <w:rPr>
            <w:rStyle w:val="Hyperlink"/>
            <w:rFonts w:ascii="Calibri" w:hAnsi="Calibri"/>
            <w:color w:val="0070C0"/>
            <w:sz w:val="20"/>
          </w:rPr>
          <w:t>http://www.ctj.org/pdf/extenders_december_2013.pdf</w:t>
        </w:r>
      </w:hyperlink>
    </w:p>
  </w:endnote>
  <w:endnote w:id="6">
    <w:p w14:paraId="0ECF8F22" w14:textId="67220866" w:rsidR="004850D0" w:rsidRPr="00AE1C15" w:rsidRDefault="004850D0" w:rsidP="009A6E8D">
      <w:pPr>
        <w:rPr>
          <w:rFonts w:ascii="Calibri" w:eastAsia="Times New Roman" w:hAnsi="Calibri"/>
          <w:sz w:val="20"/>
        </w:rPr>
      </w:pPr>
      <w:r w:rsidRPr="00AE1C15">
        <w:rPr>
          <w:rStyle w:val="EndnoteReference"/>
          <w:rFonts w:ascii="Calibri" w:hAnsi="Calibri"/>
          <w:sz w:val="20"/>
        </w:rPr>
        <w:endnoteRef/>
      </w:r>
      <w:r w:rsidRPr="00AE1C15">
        <w:rPr>
          <w:rFonts w:ascii="Calibri" w:hAnsi="Calibri"/>
          <w:sz w:val="20"/>
        </w:rPr>
        <w:t xml:space="preserve"> CBO</w:t>
      </w:r>
      <w:r w:rsidRPr="00AE1C15">
        <w:rPr>
          <w:rStyle w:val="z-BottomofFormChar"/>
          <w:rFonts w:ascii="Calibri" w:hAnsi="Calibri"/>
          <w:sz w:val="20"/>
          <w:szCs w:val="20"/>
        </w:rPr>
        <w:endnoteRef/>
      </w:r>
      <w:r w:rsidRPr="00AE1C15">
        <w:rPr>
          <w:rStyle w:val="z-BottomofFormChar"/>
          <w:rFonts w:ascii="Calibri" w:hAnsi="Calibri"/>
          <w:sz w:val="20"/>
          <w:szCs w:val="20"/>
        </w:rPr>
        <w:t>CBOC</w:t>
      </w:r>
      <w:r w:rsidRPr="00AE1C15">
        <w:rPr>
          <w:rFonts w:ascii="Calibri" w:hAnsi="Calibri"/>
          <w:sz w:val="20"/>
        </w:rPr>
        <w:t>, “</w:t>
      </w:r>
      <w:r w:rsidRPr="00AE1C15">
        <w:rPr>
          <w:rFonts w:ascii="Calibri" w:eastAsia="Times New Roman" w:hAnsi="Calibri"/>
          <w:sz w:val="20"/>
        </w:rPr>
        <w:t>Individual Income Tax Receipts,” see line 2</w:t>
      </w:r>
      <w:r w:rsidR="004332AD">
        <w:rPr>
          <w:rFonts w:ascii="Calibri" w:eastAsia="Times New Roman" w:hAnsi="Calibri"/>
          <w:sz w:val="20"/>
        </w:rPr>
        <w:t>4</w:t>
      </w:r>
      <w:r w:rsidRPr="00AE1C15">
        <w:rPr>
          <w:rFonts w:ascii="Calibri" w:eastAsia="Times New Roman" w:hAnsi="Calibri"/>
          <w:sz w:val="20"/>
        </w:rPr>
        <w:t xml:space="preserve">, </w:t>
      </w:r>
      <w:r w:rsidRPr="00AE1C15">
        <w:rPr>
          <w:rFonts w:ascii="Calibri" w:eastAsia="Times New Roman" w:hAnsi="Calibri"/>
          <w:color w:val="000000"/>
          <w:sz w:val="20"/>
        </w:rPr>
        <w:t>Payments Between Related Controlled Foreign Corporations.</w:t>
      </w:r>
      <w:r w:rsidRPr="00AE1C15">
        <w:rPr>
          <w:rFonts w:ascii="Calibri" w:eastAsia="Times New Roman" w:hAnsi="Calibri"/>
          <w:sz w:val="20"/>
        </w:rPr>
        <w:t xml:space="preserve"> </w:t>
      </w:r>
      <w:hyperlink w:history="1"/>
    </w:p>
  </w:endnote>
  <w:endnote w:id="7">
    <w:p w14:paraId="4BB2B144" w14:textId="77777777" w:rsidR="004850D0" w:rsidRPr="00AE1C15" w:rsidRDefault="004850D0" w:rsidP="009A6E8D">
      <w:pPr>
        <w:pStyle w:val="Heading2"/>
        <w:spacing w:before="0" w:after="0"/>
        <w:rPr>
          <w:rFonts w:ascii="Calibri" w:hAnsi="Calibri"/>
          <w:i w:val="0"/>
          <w:color w:val="0070C0"/>
          <w:sz w:val="20"/>
          <w:szCs w:val="20"/>
        </w:rPr>
      </w:pPr>
      <w:r w:rsidRPr="00AE1C15">
        <w:rPr>
          <w:rStyle w:val="EndnoteReference"/>
          <w:rFonts w:ascii="Calibri" w:eastAsia="Calibri" w:hAnsi="Calibri"/>
          <w:b w:val="0"/>
          <w:sz w:val="20"/>
          <w:szCs w:val="20"/>
        </w:rPr>
        <w:endnoteRef/>
      </w:r>
      <w:r w:rsidRPr="00AE1C15">
        <w:rPr>
          <w:rFonts w:ascii="Calibri" w:hAnsi="Calibri"/>
          <w:b w:val="0"/>
          <w:sz w:val="20"/>
          <w:szCs w:val="20"/>
        </w:rPr>
        <w:t xml:space="preserve"> </w:t>
      </w:r>
      <w:r w:rsidRPr="00AE1C15">
        <w:rPr>
          <w:rFonts w:ascii="Calibri" w:hAnsi="Calibri" w:cs="Helvetica"/>
          <w:b w:val="0"/>
          <w:bCs w:val="0"/>
          <w:i w:val="0"/>
          <w:sz w:val="20"/>
          <w:szCs w:val="20"/>
        </w:rPr>
        <w:t>Sen. Carl Levin, “</w:t>
      </w:r>
      <w:r w:rsidRPr="00AE1C15">
        <w:rPr>
          <w:rFonts w:ascii="Calibri" w:hAnsi="Calibri"/>
          <w:b w:val="0"/>
          <w:i w:val="0"/>
          <w:sz w:val="20"/>
          <w:szCs w:val="20"/>
        </w:rPr>
        <w:t xml:space="preserve">Senate Floor Statement on Introducing the Stop Tax Haven Abuse Act” (Sept. 19, 2013). </w:t>
      </w:r>
      <w:hyperlink r:id="rId5" w:anchor="sthash.ufqdQCEc.dpuf" w:history="1">
        <w:r w:rsidRPr="00AE1C15">
          <w:rPr>
            <w:rStyle w:val="Hyperlink"/>
            <w:rFonts w:ascii="Calibri" w:hAnsi="Calibri"/>
            <w:b w:val="0"/>
            <w:i w:val="0"/>
            <w:color w:val="0070C0"/>
            <w:sz w:val="20"/>
            <w:szCs w:val="20"/>
          </w:rPr>
          <w:t>http://www.levin.senate.gov/newsroom/speeches/speech/senate-floor-statement-on-introducing-the-stop-tax-haven-abuse-act/#sthash.ufqdQCEc.dpuf</w:t>
        </w:r>
      </w:hyperlink>
    </w:p>
  </w:endnote>
  <w:endnote w:id="8">
    <w:p w14:paraId="21475419" w14:textId="4EB8CEDD" w:rsidR="004850D0" w:rsidRPr="00AE1C15" w:rsidRDefault="004850D0" w:rsidP="009A6E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w:sz w:val="20"/>
        </w:rPr>
      </w:pPr>
      <w:r w:rsidRPr="00AE1C15">
        <w:rPr>
          <w:rStyle w:val="EndnoteReference"/>
          <w:rFonts w:ascii="Calibri" w:hAnsi="Calibri"/>
          <w:sz w:val="20"/>
        </w:rPr>
        <w:endnoteRef/>
      </w:r>
      <w:r w:rsidRPr="00AE1C15">
        <w:rPr>
          <w:rFonts w:ascii="Calibri" w:eastAsia="Times New Roman" w:hAnsi="Calibri" w:cs="Times"/>
          <w:sz w:val="20"/>
        </w:rPr>
        <w:t xml:space="preserve"> Joseph M. Calianno and Martin J. Collins, “The CFC Look-Through Rule: Congress Changes Landscape Of</w:t>
      </w:r>
      <w:r w:rsidRPr="00AE1C15">
        <w:rPr>
          <w:rFonts w:ascii="Calibri" w:eastAsia="Times New Roman" w:hAnsi="Calibri" w:cs="Helvetica"/>
          <w:sz w:val="20"/>
        </w:rPr>
        <w:t xml:space="preserve"> </w:t>
      </w:r>
      <w:r w:rsidRPr="00AE1C15">
        <w:rPr>
          <w:rFonts w:ascii="Calibri" w:eastAsia="Times New Roman" w:hAnsi="Calibri" w:cs="Times"/>
          <w:sz w:val="20"/>
        </w:rPr>
        <w:t xml:space="preserve">Subpart F,” </w:t>
      </w:r>
      <w:r w:rsidRPr="00AE1C15">
        <w:rPr>
          <w:rFonts w:ascii="Calibri" w:eastAsia="Times New Roman" w:hAnsi="Calibri" w:cs="Times"/>
          <w:i/>
          <w:sz w:val="20"/>
        </w:rPr>
        <w:t>Tax Notes</w:t>
      </w:r>
      <w:r w:rsidRPr="00AE1C15">
        <w:rPr>
          <w:rFonts w:ascii="Calibri" w:eastAsia="Times New Roman" w:hAnsi="Calibri" w:cs="Times"/>
          <w:sz w:val="20"/>
        </w:rPr>
        <w:t xml:space="preserve"> (July 10, 2006), p. 3. </w:t>
      </w:r>
      <w:hyperlink r:id="rId6" w:history="1"/>
      <w:r w:rsidR="00E11C22">
        <w:rPr>
          <w:rStyle w:val="Hyperlink"/>
          <w:rFonts w:ascii="Calibri" w:eastAsia="Times New Roman" w:hAnsi="Calibri" w:cs="Times"/>
          <w:sz w:val="20"/>
        </w:rPr>
        <w:t xml:space="preserve"> </w:t>
      </w:r>
      <w:r w:rsidR="00E11C22" w:rsidRPr="00E11C22">
        <w:rPr>
          <w:rStyle w:val="Hyperlink"/>
          <w:rFonts w:ascii="Calibri" w:eastAsia="Times New Roman" w:hAnsi="Calibri" w:cs="Times"/>
          <w:sz w:val="20"/>
        </w:rPr>
        <w:t>http://www.americansfortaxfairness.org/files/CFC-Look-Thru-Rule-Congress-Changes-Landscape-of-Subpart-F-Tax-Notes-20063-1.pdf</w:t>
      </w:r>
    </w:p>
  </w:endnote>
  <w:endnote w:id="9">
    <w:p w14:paraId="4872071E" w14:textId="77777777" w:rsidR="004850D0" w:rsidRPr="00AE1C15" w:rsidRDefault="004850D0" w:rsidP="009A6E8D">
      <w:pPr>
        <w:pStyle w:val="EndnoteText"/>
        <w:rPr>
          <w:color w:val="0070C0"/>
        </w:rPr>
      </w:pPr>
      <w:r w:rsidRPr="00AE1C15">
        <w:rPr>
          <w:rStyle w:val="EndnoteReference"/>
        </w:rPr>
        <w:endnoteRef/>
      </w:r>
      <w:r w:rsidRPr="00AE1C15">
        <w:t xml:space="preserve"> Edward D. Kleinbard, “Stateless Income,” </w:t>
      </w:r>
      <w:r w:rsidRPr="00AE1C15">
        <w:rPr>
          <w:i/>
        </w:rPr>
        <w:t xml:space="preserve">Florida Tax Review </w:t>
      </w:r>
      <w:r w:rsidRPr="00AE1C15">
        <w:t xml:space="preserve">(2011), pp. 701-2. </w:t>
      </w:r>
      <w:hyperlink r:id="rId7" w:history="1">
        <w:r w:rsidRPr="00AE1C15">
          <w:rPr>
            <w:rStyle w:val="Hyperlink"/>
            <w:color w:val="0070C0"/>
          </w:rPr>
          <w:t>http://www.sbs.ox.ac.uk/sites/default/files/Business_Taxation/Docs/WP1208.pdf</w:t>
        </w:r>
      </w:hyperlink>
    </w:p>
  </w:endnote>
  <w:endnote w:id="10">
    <w:p w14:paraId="5987E10A" w14:textId="7773A7D5" w:rsidR="004850D0" w:rsidRPr="00AE1C15" w:rsidRDefault="004850D0" w:rsidP="009A6E8D">
      <w:pPr>
        <w:rPr>
          <w:rFonts w:ascii="Calibri" w:eastAsia="Times New Roman" w:hAnsi="Calibri"/>
          <w:sz w:val="20"/>
        </w:rPr>
      </w:pPr>
      <w:r w:rsidRPr="00AE1C15">
        <w:rPr>
          <w:rStyle w:val="EndnoteReference"/>
          <w:rFonts w:ascii="Calibri" w:hAnsi="Calibri"/>
          <w:sz w:val="20"/>
        </w:rPr>
        <w:endnoteRef/>
      </w:r>
      <w:r w:rsidRPr="00AE1C15">
        <w:rPr>
          <w:rFonts w:ascii="Calibri" w:hAnsi="Calibri"/>
          <w:sz w:val="20"/>
        </w:rPr>
        <w:t xml:space="preserve"> CBO</w:t>
      </w:r>
      <w:r w:rsidRPr="00AE1C15">
        <w:rPr>
          <w:rStyle w:val="z-BottomofFormChar"/>
          <w:rFonts w:ascii="Calibri" w:hAnsi="Calibri"/>
          <w:sz w:val="20"/>
          <w:szCs w:val="20"/>
        </w:rPr>
        <w:endnoteRef/>
      </w:r>
      <w:r w:rsidRPr="00AE1C15">
        <w:rPr>
          <w:rStyle w:val="z-BottomofFormChar"/>
          <w:rFonts w:ascii="Calibri" w:hAnsi="Calibri"/>
          <w:sz w:val="20"/>
          <w:szCs w:val="20"/>
        </w:rPr>
        <w:t>CBOC</w:t>
      </w:r>
      <w:r w:rsidRPr="00AE1C15">
        <w:rPr>
          <w:rFonts w:ascii="Calibri" w:hAnsi="Calibri"/>
          <w:sz w:val="20"/>
        </w:rPr>
        <w:t>, “</w:t>
      </w:r>
      <w:r w:rsidRPr="00AE1C15">
        <w:rPr>
          <w:rFonts w:ascii="Calibri" w:eastAsia="Times New Roman" w:hAnsi="Calibri"/>
          <w:sz w:val="20"/>
        </w:rPr>
        <w:t>Individual I</w:t>
      </w:r>
      <w:r w:rsidR="004332AD">
        <w:rPr>
          <w:rFonts w:ascii="Calibri" w:eastAsia="Times New Roman" w:hAnsi="Calibri"/>
          <w:sz w:val="20"/>
        </w:rPr>
        <w:t>ncome Tax Receipts,” see line 21</w:t>
      </w:r>
      <w:r w:rsidRPr="00AE1C15">
        <w:rPr>
          <w:rFonts w:ascii="Calibri" w:eastAsia="Times New Roman" w:hAnsi="Calibri"/>
          <w:sz w:val="20"/>
        </w:rPr>
        <w:t xml:space="preserve">, </w:t>
      </w:r>
      <w:r w:rsidRPr="00AE1C15">
        <w:rPr>
          <w:rFonts w:ascii="Calibri" w:eastAsia="Times New Roman" w:hAnsi="Calibri"/>
          <w:color w:val="000000"/>
          <w:sz w:val="20"/>
        </w:rPr>
        <w:t>Credit for Research and Experimentation.</w:t>
      </w:r>
      <w:r w:rsidRPr="00AE1C15">
        <w:rPr>
          <w:rFonts w:ascii="Calibri" w:eastAsia="Times New Roman" w:hAnsi="Calibri"/>
          <w:sz w:val="20"/>
        </w:rPr>
        <w:t xml:space="preserve"> </w:t>
      </w:r>
      <w:hyperlink w:history="1"/>
    </w:p>
  </w:endnote>
  <w:endnote w:id="11">
    <w:p w14:paraId="4CD11FFD" w14:textId="5ABB3BE1" w:rsidR="004850D0" w:rsidRPr="00AE1C15" w:rsidRDefault="004850D0" w:rsidP="009A6E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70C0"/>
          <w:sz w:val="20"/>
        </w:rPr>
      </w:pPr>
      <w:r w:rsidRPr="00AE1C15">
        <w:rPr>
          <w:rStyle w:val="EndnoteReference"/>
          <w:rFonts w:ascii="Calibri" w:hAnsi="Calibri"/>
          <w:sz w:val="20"/>
        </w:rPr>
        <w:endnoteRef/>
      </w:r>
      <w:r w:rsidRPr="00AE1C15">
        <w:rPr>
          <w:rFonts w:ascii="Calibri" w:hAnsi="Calibri"/>
          <w:sz w:val="20"/>
        </w:rPr>
        <w:t xml:space="preserve"> Congressional Research Service, “</w:t>
      </w:r>
      <w:r w:rsidRPr="00AE1C15">
        <w:rPr>
          <w:rFonts w:ascii="Calibri" w:eastAsia="Times New Roman" w:hAnsi="Calibri" w:cs="Helvetica"/>
          <w:sz w:val="20"/>
        </w:rPr>
        <w:t>Research Tax Credit: Current Law, Legislation in the 112th Congress, and Policy Issues</w:t>
      </w:r>
      <w:r w:rsidRPr="00AE1C15">
        <w:rPr>
          <w:rFonts w:ascii="Calibri" w:eastAsia="Times New Roman" w:hAnsi="Calibri"/>
          <w:sz w:val="20"/>
        </w:rPr>
        <w:t xml:space="preserve">” (Nov. 29, 2011), p. 11. </w:t>
      </w:r>
      <w:hyperlink r:id="rId8" w:history="1">
        <w:r w:rsidRPr="00AE1C15">
          <w:rPr>
            <w:rStyle w:val="Hyperlink"/>
            <w:rFonts w:ascii="Calibri" w:eastAsia="Times New Roman" w:hAnsi="Calibri"/>
            <w:color w:val="0070C0"/>
            <w:sz w:val="20"/>
          </w:rPr>
          <w:t>http://www.ieeeusa.org/policy/eyeonwashington/2011/documents/researchtaxcredit.pdf</w:t>
        </w:r>
      </w:hyperlink>
    </w:p>
  </w:endnote>
  <w:endnote w:id="12">
    <w:p w14:paraId="0DC50135" w14:textId="304257A0" w:rsidR="004850D0" w:rsidRPr="00AE1C15" w:rsidRDefault="004850D0" w:rsidP="009A6E8D">
      <w:pPr>
        <w:pStyle w:val="EndnoteText"/>
        <w:rPr>
          <w:color w:val="0070C0"/>
        </w:rPr>
      </w:pPr>
      <w:r w:rsidRPr="00AE1C15">
        <w:rPr>
          <w:rStyle w:val="EndnoteReference"/>
        </w:rPr>
        <w:endnoteRef/>
      </w:r>
      <w:r w:rsidRPr="00AE1C15">
        <w:t xml:space="preserve"> CTJ, “</w:t>
      </w:r>
      <w:r w:rsidRPr="00AE1C15">
        <w:rPr>
          <w:rFonts w:eastAsia="Times New Roman" w:cs="Helvetica"/>
        </w:rPr>
        <w:t xml:space="preserve">Reform the Research Tax Credit — Or Let It Die” (Dec. 4, 2013), p. </w:t>
      </w:r>
      <w:r>
        <w:rPr>
          <w:rFonts w:eastAsia="Times New Roman" w:cs="Helvetica"/>
        </w:rPr>
        <w:t>9</w:t>
      </w:r>
      <w:r w:rsidRPr="00AE1C15">
        <w:rPr>
          <w:rFonts w:eastAsia="Times New Roman" w:cs="Helvetica"/>
        </w:rPr>
        <w:t xml:space="preserve">. </w:t>
      </w:r>
      <w:hyperlink r:id="rId9" w:history="1">
        <w:r w:rsidRPr="00AE1C15">
          <w:rPr>
            <w:rStyle w:val="Hyperlink"/>
            <w:rFonts w:eastAsia="Times New Roman" w:cs="Helvetica"/>
            <w:color w:val="0070C0"/>
          </w:rPr>
          <w:t>http://www.ctj.org/pdf/researchcredit.pdf</w:t>
        </w:r>
      </w:hyperlink>
      <w:r>
        <w:rPr>
          <w:rStyle w:val="Hyperlink"/>
          <w:rFonts w:eastAsia="Times New Roman" w:cs="Helvetica"/>
          <w:color w:val="0070C0"/>
        </w:rPr>
        <w:t xml:space="preserve">. This report references tax advice from leading accounting firm Deloitte. See similar advice offered by a smaller player: </w:t>
      </w:r>
      <w:r w:rsidRPr="004150A0">
        <w:rPr>
          <w:rStyle w:val="Hyperlink"/>
          <w:rFonts w:eastAsia="Times New Roman" w:cs="Helvetica"/>
          <w:color w:val="0070C0"/>
        </w:rPr>
        <w:t>http://www.scribd.com/doc/207308060/Food-Industry</w:t>
      </w:r>
    </w:p>
  </w:endnote>
  <w:endnote w:id="13">
    <w:p w14:paraId="59CC0EFE" w14:textId="77777777" w:rsidR="004850D0" w:rsidRPr="00AE1C15" w:rsidRDefault="004850D0" w:rsidP="009A6E8D">
      <w:pPr>
        <w:pStyle w:val="EndnoteText"/>
      </w:pPr>
      <w:r w:rsidRPr="00AE1C15">
        <w:rPr>
          <w:rStyle w:val="EndnoteReference"/>
        </w:rPr>
        <w:endnoteRef/>
      </w:r>
      <w:r w:rsidRPr="00AE1C15">
        <w:t xml:space="preserve"> </w:t>
      </w:r>
      <w:r w:rsidRPr="00AE1C15">
        <w:rPr>
          <w:i/>
        </w:rPr>
        <w:t xml:space="preserve">Ibid., </w:t>
      </w:r>
      <w:r w:rsidRPr="00AE1C15">
        <w:t>pp. 12-15.</w:t>
      </w:r>
    </w:p>
  </w:endnote>
  <w:endnote w:id="14">
    <w:p w14:paraId="00665ADB" w14:textId="2912504D" w:rsidR="006D3072" w:rsidRPr="006D3072" w:rsidRDefault="006D3072" w:rsidP="006D3072">
      <w:r w:rsidRPr="006D3072">
        <w:rPr>
          <w:rStyle w:val="EndnoteReference"/>
          <w:rFonts w:asciiTheme="minorHAnsi" w:eastAsia="Calibri" w:hAnsiTheme="minorHAnsi"/>
          <w:sz w:val="20"/>
          <w:lang w:val="x-none" w:eastAsia="x-none"/>
        </w:rPr>
        <w:endnoteRef/>
      </w:r>
      <w:r w:rsidRPr="006D3072">
        <w:rPr>
          <w:rFonts w:asciiTheme="minorHAnsi" w:hAnsiTheme="minorHAnsi"/>
          <w:sz w:val="20"/>
        </w:rPr>
        <w:t xml:space="preserve"> </w:t>
      </w:r>
      <w:r w:rsidRPr="006D3072">
        <w:rPr>
          <w:rFonts w:ascii="Calibri" w:hAnsi="Calibri"/>
          <w:sz w:val="20"/>
        </w:rPr>
        <w:t xml:space="preserve">Economic Policy Institute, </w:t>
      </w:r>
      <w:r>
        <w:rPr>
          <w:rFonts w:ascii="Calibri" w:hAnsi="Calibri"/>
          <w:sz w:val="20"/>
        </w:rPr>
        <w:t>“</w:t>
      </w:r>
      <w:r w:rsidRPr="006D3072">
        <w:rPr>
          <w:rFonts w:ascii="Calibri" w:hAnsi="Calibri"/>
          <w:sz w:val="20"/>
        </w:rPr>
        <w:t>Time to Take Tax Policy Off of Autopilot</w:t>
      </w:r>
      <w:r>
        <w:rPr>
          <w:rFonts w:ascii="Calibri" w:hAnsi="Calibri"/>
          <w:sz w:val="20"/>
        </w:rPr>
        <w:t xml:space="preserve">: </w:t>
      </w:r>
      <w:r w:rsidRPr="006D3072">
        <w:rPr>
          <w:rFonts w:ascii="Calibri" w:hAnsi="Calibri"/>
          <w:sz w:val="20"/>
        </w:rPr>
        <w:t>Why Congress Should Reconsider Tax Extenders</w:t>
      </w:r>
      <w:r>
        <w:rPr>
          <w:rFonts w:ascii="Calibri" w:hAnsi="Calibri"/>
          <w:sz w:val="20"/>
        </w:rPr>
        <w:t xml:space="preserve">,” </w:t>
      </w:r>
      <w:r w:rsidRPr="006D3072">
        <w:rPr>
          <w:rFonts w:asciiTheme="minorHAnsi" w:hAnsiTheme="minorHAnsi"/>
          <w:sz w:val="20"/>
        </w:rPr>
        <w:t xml:space="preserve">(Feb. 25, 2014). </w:t>
      </w:r>
      <w:hyperlink r:id="rId10" w:history="1">
        <w:r w:rsidRPr="006D3072">
          <w:rPr>
            <w:rStyle w:val="Hyperlink"/>
            <w:rFonts w:asciiTheme="minorHAnsi" w:hAnsiTheme="minorHAnsi"/>
            <w:sz w:val="20"/>
          </w:rPr>
          <w:t>http://www.epi.org/publication/tax-extenders/</w:t>
        </w:r>
      </w:hyperlink>
    </w:p>
  </w:endnote>
  <w:endnote w:id="15">
    <w:p w14:paraId="247D2E59" w14:textId="20BBE53C" w:rsidR="004850D0" w:rsidRPr="00AE1C15" w:rsidRDefault="004850D0" w:rsidP="009A6E8D">
      <w:pPr>
        <w:rPr>
          <w:rFonts w:ascii="Calibri" w:eastAsia="Times New Roman" w:hAnsi="Calibri"/>
          <w:sz w:val="20"/>
        </w:rPr>
      </w:pPr>
      <w:r w:rsidRPr="00AE1C15">
        <w:rPr>
          <w:rStyle w:val="EndnoteReference"/>
          <w:rFonts w:ascii="Calibri" w:eastAsia="Times New Roman" w:hAnsi="Calibri"/>
          <w:bCs/>
          <w:sz w:val="20"/>
        </w:rPr>
        <w:endnoteRef/>
      </w:r>
      <w:r w:rsidRPr="00AE1C15">
        <w:rPr>
          <w:rFonts w:ascii="Calibri" w:hAnsi="Calibri"/>
          <w:sz w:val="20"/>
        </w:rPr>
        <w:t xml:space="preserve"> </w:t>
      </w:r>
      <w:r w:rsidRPr="00AE1C15">
        <w:rPr>
          <w:rStyle w:val="z-BottomofFormChar"/>
          <w:rFonts w:ascii="Calibri" w:hAnsi="Calibri"/>
          <w:sz w:val="20"/>
          <w:szCs w:val="20"/>
        </w:rPr>
        <w:endnoteRef/>
      </w:r>
      <w:r w:rsidRPr="00AE1C15">
        <w:rPr>
          <w:rFonts w:ascii="Calibri" w:hAnsi="Calibri"/>
          <w:sz w:val="20"/>
        </w:rPr>
        <w:t>CBO, “</w:t>
      </w:r>
      <w:r w:rsidRPr="00AE1C15">
        <w:rPr>
          <w:rFonts w:ascii="Calibri" w:eastAsia="Times New Roman" w:hAnsi="Calibri"/>
          <w:sz w:val="20"/>
        </w:rPr>
        <w:t>Individual I</w:t>
      </w:r>
      <w:r w:rsidR="004332AD">
        <w:rPr>
          <w:rFonts w:ascii="Calibri" w:eastAsia="Times New Roman" w:hAnsi="Calibri"/>
          <w:sz w:val="20"/>
        </w:rPr>
        <w:t>ncome Tax Receipts,” see line 36</w:t>
      </w:r>
      <w:r w:rsidRPr="00AE1C15">
        <w:rPr>
          <w:rFonts w:ascii="Calibri" w:eastAsia="Times New Roman" w:hAnsi="Calibri"/>
          <w:sz w:val="20"/>
        </w:rPr>
        <w:t>,</w:t>
      </w:r>
      <w:r w:rsidRPr="00AE1C15">
        <w:rPr>
          <w:rFonts w:ascii="Calibri" w:eastAsia="Times New Roman" w:hAnsi="Calibri"/>
          <w:color w:val="000000"/>
          <w:sz w:val="20"/>
        </w:rPr>
        <w:t xml:space="preserve"> Depreciation Period for Motor Tracks.</w:t>
      </w:r>
    </w:p>
  </w:endnote>
  <w:endnote w:id="16">
    <w:p w14:paraId="7167D024" w14:textId="77777777" w:rsidR="004850D0" w:rsidRPr="00AE1C15" w:rsidRDefault="004850D0" w:rsidP="009A6E8D">
      <w:pPr>
        <w:pStyle w:val="Heading1"/>
        <w:ind w:left="0"/>
        <w:jc w:val="left"/>
        <w:rPr>
          <w:rFonts w:ascii="Calibri" w:eastAsia="Times New Roman" w:hAnsi="Calibri"/>
          <w:b w:val="0"/>
          <w:color w:val="auto"/>
          <w:sz w:val="20"/>
        </w:rPr>
      </w:pPr>
      <w:r w:rsidRPr="00AE1C15">
        <w:rPr>
          <w:rStyle w:val="EndnoteReference"/>
          <w:rFonts w:ascii="Calibri" w:hAnsi="Calibri"/>
          <w:b w:val="0"/>
          <w:color w:val="auto"/>
          <w:sz w:val="20"/>
        </w:rPr>
        <w:endnoteRef/>
      </w:r>
      <w:r w:rsidRPr="00AE1C15">
        <w:rPr>
          <w:rFonts w:ascii="Calibri" w:hAnsi="Calibri"/>
          <w:b w:val="0"/>
          <w:color w:val="auto"/>
          <w:sz w:val="20"/>
        </w:rPr>
        <w:t xml:space="preserve"> The Washington Post, “</w:t>
      </w:r>
      <w:r w:rsidRPr="00AE1C15">
        <w:rPr>
          <w:rFonts w:ascii="Calibri" w:eastAsia="Times New Roman" w:hAnsi="Calibri"/>
          <w:b w:val="0"/>
          <w:color w:val="auto"/>
          <w:sz w:val="20"/>
        </w:rPr>
        <w:t xml:space="preserve">From NASCAR to rum, the 10 weirdest parts of the ‘fiscal cliff’ bill” (Jan. 2, 2013). </w:t>
      </w:r>
      <w:hyperlink r:id="rId11" w:history="1">
        <w:r w:rsidRPr="00AE1C15">
          <w:rPr>
            <w:rStyle w:val="Hyperlink"/>
            <w:rFonts w:ascii="Calibri" w:eastAsia="Times New Roman" w:hAnsi="Calibri"/>
            <w:b w:val="0"/>
            <w:sz w:val="20"/>
          </w:rPr>
          <w:t>http://www.washingtonpost.com/blogs/wonkblog/wp/2013/01/02/from-nascar-to-rum-the-10-weirdest-parts-of-the-fiscal-cliff-deal/</w:t>
        </w:r>
      </w:hyperlink>
    </w:p>
  </w:endnote>
  <w:endnote w:id="17">
    <w:p w14:paraId="5B1B7619" w14:textId="54D7DBCF" w:rsidR="00240DB6" w:rsidRPr="00AE1C15" w:rsidRDefault="004850D0" w:rsidP="009A6E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b/>
          <w:sz w:val="20"/>
        </w:rPr>
      </w:pPr>
      <w:r w:rsidRPr="00AE1C15">
        <w:rPr>
          <w:rStyle w:val="EndnoteReference"/>
          <w:rFonts w:ascii="Calibri" w:hAnsi="Calibri"/>
          <w:sz w:val="20"/>
        </w:rPr>
        <w:endnoteRef/>
      </w:r>
      <w:r w:rsidRPr="00AE1C15">
        <w:rPr>
          <w:rFonts w:ascii="Calibri" w:hAnsi="Calibri"/>
          <w:sz w:val="20"/>
        </w:rPr>
        <w:t xml:space="preserve"> </w:t>
      </w:r>
      <w:r w:rsidRPr="00AE1C15">
        <w:rPr>
          <w:rFonts w:ascii="Calibri" w:eastAsia="Times New Roman" w:hAnsi="Calibri"/>
          <w:sz w:val="20"/>
        </w:rPr>
        <w:t xml:space="preserve">26 U.S. Code § 168 - Accelerated cost recovery system. </w:t>
      </w:r>
      <w:hyperlink r:id="rId12" w:history="1">
        <w:r w:rsidR="00240DB6" w:rsidRPr="00AE1C15">
          <w:rPr>
            <w:rStyle w:val="Hyperlink"/>
            <w:rFonts w:ascii="Calibri" w:eastAsia="Times New Roman" w:hAnsi="Calibri"/>
            <w:color w:val="0070C0"/>
            <w:sz w:val="20"/>
          </w:rPr>
          <w:t>http://www.law.cornell.edu/uscode/text/26/168</w:t>
        </w:r>
      </w:hyperlink>
      <w:r w:rsidR="00240DB6">
        <w:rPr>
          <w:rStyle w:val="Hyperlink"/>
          <w:rFonts w:ascii="Calibri" w:eastAsia="Times New Roman" w:hAnsi="Calibri"/>
          <w:b/>
          <w:sz w:val="20"/>
        </w:rPr>
        <w:t>.</w:t>
      </w:r>
      <w:r w:rsidR="00240DB6">
        <w:rPr>
          <w:rFonts w:ascii="Calibri" w:eastAsia="Times New Roman" w:hAnsi="Calibri"/>
          <w:sz w:val="20"/>
        </w:rPr>
        <w:t xml:space="preserve"> </w:t>
      </w:r>
      <w:r w:rsidR="002840DC">
        <w:rPr>
          <w:rFonts w:ascii="Calibri" w:eastAsia="Times New Roman" w:hAnsi="Calibri"/>
          <w:sz w:val="20"/>
        </w:rPr>
        <w:t>See</w:t>
      </w:r>
      <w:r w:rsidR="00240DB6">
        <w:rPr>
          <w:rFonts w:ascii="Calibri" w:eastAsia="Times New Roman" w:hAnsi="Calibri"/>
          <w:sz w:val="20"/>
        </w:rPr>
        <w:t xml:space="preserve"> Sec</w:t>
      </w:r>
      <w:r w:rsidRPr="00AE1C15">
        <w:rPr>
          <w:rFonts w:ascii="Calibri" w:eastAsia="Times New Roman" w:hAnsi="Calibri"/>
          <w:sz w:val="20"/>
        </w:rPr>
        <w:t>. (i)(15)</w:t>
      </w:r>
      <w:r w:rsidR="002840DC">
        <w:rPr>
          <w:rFonts w:ascii="Calibri" w:eastAsia="Times New Roman" w:hAnsi="Calibri"/>
          <w:sz w:val="20"/>
        </w:rPr>
        <w:t xml:space="preserve"> for a definition of a motor racing track</w:t>
      </w:r>
      <w:r w:rsidR="00240DB6">
        <w:rPr>
          <w:rFonts w:ascii="Calibri" w:eastAsia="Times New Roman" w:hAnsi="Calibri"/>
          <w:sz w:val="20"/>
        </w:rPr>
        <w:t xml:space="preserve">. </w:t>
      </w:r>
      <w:r w:rsidR="00745F33">
        <w:rPr>
          <w:rFonts w:ascii="Calibri" w:eastAsia="Times New Roman" w:hAnsi="Calibri"/>
          <w:sz w:val="20"/>
        </w:rPr>
        <w:t xml:space="preserve">See </w:t>
      </w:r>
      <w:r w:rsidR="002840DC">
        <w:rPr>
          <w:rFonts w:ascii="Calibri" w:eastAsia="Times New Roman" w:hAnsi="Calibri"/>
          <w:sz w:val="20"/>
        </w:rPr>
        <w:t>Sec.</w:t>
      </w:r>
      <w:r w:rsidRPr="00AE1C15">
        <w:rPr>
          <w:rFonts w:ascii="Calibri" w:eastAsia="Times New Roman" w:hAnsi="Calibri"/>
          <w:sz w:val="20"/>
        </w:rPr>
        <w:t xml:space="preserve"> (e)(3)(C)(ii)] </w:t>
      </w:r>
      <w:r w:rsidR="00745F33">
        <w:rPr>
          <w:rFonts w:ascii="Calibri" w:eastAsia="Times New Roman" w:hAnsi="Calibri"/>
          <w:sz w:val="20"/>
        </w:rPr>
        <w:t xml:space="preserve">for a list of seven-year depreciable assets. See </w:t>
      </w:r>
      <w:r w:rsidRPr="00AE1C15">
        <w:rPr>
          <w:rFonts w:ascii="Calibri" w:hAnsi="Calibri"/>
          <w:sz w:val="20"/>
        </w:rPr>
        <w:t>Sec. (c)</w:t>
      </w:r>
      <w:r w:rsidR="00745F33">
        <w:rPr>
          <w:rFonts w:ascii="Calibri" w:hAnsi="Calibri"/>
          <w:sz w:val="20"/>
        </w:rPr>
        <w:t xml:space="preserve"> for the depreciation schedule for </w:t>
      </w:r>
      <w:r w:rsidR="00B94291">
        <w:rPr>
          <w:rFonts w:ascii="Calibri" w:hAnsi="Calibri"/>
          <w:sz w:val="20"/>
        </w:rPr>
        <w:t>39 classes of</w:t>
      </w:r>
      <w:r w:rsidR="00745F33">
        <w:rPr>
          <w:rFonts w:ascii="Calibri" w:hAnsi="Calibri"/>
          <w:sz w:val="20"/>
        </w:rPr>
        <w:t xml:space="preserve"> assets</w:t>
      </w:r>
      <w:r w:rsidRPr="00AE1C15">
        <w:rPr>
          <w:rFonts w:ascii="Calibri" w:hAnsi="Calibri"/>
          <w:sz w:val="20"/>
        </w:rPr>
        <w:t>.</w:t>
      </w:r>
      <w:r w:rsidR="00745F33" w:rsidRPr="00AE1C15">
        <w:rPr>
          <w:rFonts w:ascii="Calibri" w:eastAsia="Times New Roman" w:hAnsi="Calibri"/>
          <w:b/>
          <w:sz w:val="20"/>
        </w:rPr>
        <w:t xml:space="preserve"> </w:t>
      </w:r>
    </w:p>
  </w:endnote>
  <w:endnote w:id="18">
    <w:p w14:paraId="074D2592" w14:textId="2A60BD9A" w:rsidR="004850D0" w:rsidRPr="00AE1C15" w:rsidRDefault="004850D0" w:rsidP="009A6E8D">
      <w:pPr>
        <w:rPr>
          <w:rFonts w:ascii="Calibri" w:eastAsia="Times New Roman" w:hAnsi="Calibri"/>
          <w:sz w:val="20"/>
        </w:rPr>
      </w:pPr>
      <w:r w:rsidRPr="00AE1C15">
        <w:rPr>
          <w:rStyle w:val="EndnoteReference"/>
          <w:rFonts w:ascii="Calibri" w:hAnsi="Calibri"/>
          <w:sz w:val="20"/>
        </w:rPr>
        <w:endnoteRef/>
      </w:r>
      <w:r w:rsidRPr="00AE1C15">
        <w:rPr>
          <w:rFonts w:ascii="Calibri" w:hAnsi="Calibri"/>
          <w:sz w:val="20"/>
        </w:rPr>
        <w:t xml:space="preserve"> CBO</w:t>
      </w:r>
      <w:r w:rsidRPr="00AE1C15">
        <w:rPr>
          <w:rStyle w:val="z-BottomofFormChar"/>
          <w:rFonts w:ascii="Calibri" w:hAnsi="Calibri"/>
          <w:sz w:val="20"/>
          <w:szCs w:val="20"/>
        </w:rPr>
        <w:endnoteRef/>
      </w:r>
      <w:r w:rsidRPr="00AE1C15">
        <w:rPr>
          <w:rStyle w:val="z-BottomofFormChar"/>
          <w:rFonts w:ascii="Calibri" w:hAnsi="Calibri"/>
          <w:sz w:val="20"/>
          <w:szCs w:val="20"/>
        </w:rPr>
        <w:t>CBOC</w:t>
      </w:r>
      <w:r w:rsidRPr="00AE1C15">
        <w:rPr>
          <w:rFonts w:ascii="Calibri" w:hAnsi="Calibri"/>
          <w:sz w:val="20"/>
        </w:rPr>
        <w:t>, “</w:t>
      </w:r>
      <w:r w:rsidRPr="00AE1C15">
        <w:rPr>
          <w:rFonts w:ascii="Calibri" w:eastAsia="Times New Roman" w:hAnsi="Calibri"/>
          <w:sz w:val="20"/>
        </w:rPr>
        <w:t>Individual Income Tax Receipts,” see line 3</w:t>
      </w:r>
      <w:r w:rsidR="004332AD">
        <w:rPr>
          <w:rFonts w:ascii="Calibri" w:eastAsia="Times New Roman" w:hAnsi="Calibri"/>
          <w:sz w:val="20"/>
        </w:rPr>
        <w:t>3</w:t>
      </w:r>
      <w:r w:rsidRPr="00AE1C15">
        <w:rPr>
          <w:rFonts w:ascii="Calibri" w:eastAsia="Times New Roman" w:hAnsi="Calibri"/>
          <w:sz w:val="20"/>
        </w:rPr>
        <w:t xml:space="preserve">, </w:t>
      </w:r>
      <w:r w:rsidRPr="00AE1C15">
        <w:rPr>
          <w:rFonts w:ascii="Calibri" w:eastAsia="Times New Roman" w:hAnsi="Calibri"/>
          <w:color w:val="000000"/>
          <w:sz w:val="20"/>
        </w:rPr>
        <w:t>Expensing of Film and TV Productions.</w:t>
      </w:r>
      <w:r w:rsidRPr="00AE1C15">
        <w:rPr>
          <w:rFonts w:ascii="Calibri" w:eastAsia="Times New Roman" w:hAnsi="Calibri"/>
          <w:sz w:val="20"/>
        </w:rPr>
        <w:t xml:space="preserve"> </w:t>
      </w:r>
      <w:hyperlink w:history="1"/>
    </w:p>
  </w:endnote>
  <w:endnote w:id="19">
    <w:p w14:paraId="35A6FED9" w14:textId="77777777" w:rsidR="004850D0" w:rsidRPr="00AE1C15" w:rsidRDefault="004850D0" w:rsidP="009A6E8D">
      <w:pPr>
        <w:pStyle w:val="Heading1"/>
        <w:ind w:left="0"/>
        <w:jc w:val="left"/>
        <w:rPr>
          <w:rFonts w:ascii="Calibri" w:eastAsia="Times New Roman" w:hAnsi="Calibri"/>
          <w:b w:val="0"/>
          <w:color w:val="auto"/>
          <w:sz w:val="20"/>
        </w:rPr>
      </w:pPr>
      <w:r w:rsidRPr="00AE1C15">
        <w:rPr>
          <w:rStyle w:val="EndnoteReference"/>
          <w:rFonts w:ascii="Calibri" w:hAnsi="Calibri"/>
          <w:b w:val="0"/>
          <w:color w:val="auto"/>
          <w:sz w:val="20"/>
        </w:rPr>
        <w:endnoteRef/>
      </w:r>
      <w:r w:rsidRPr="00AE1C15">
        <w:rPr>
          <w:rFonts w:ascii="Calibri" w:hAnsi="Calibri"/>
          <w:b w:val="0"/>
          <w:color w:val="auto"/>
          <w:sz w:val="20"/>
        </w:rPr>
        <w:t xml:space="preserve"> The Wrap, “</w:t>
      </w:r>
      <w:r w:rsidRPr="00AE1C15">
        <w:rPr>
          <w:rFonts w:ascii="Calibri" w:eastAsia="Times New Roman" w:hAnsi="Calibri"/>
          <w:b w:val="0"/>
          <w:color w:val="auto"/>
          <w:sz w:val="20"/>
        </w:rPr>
        <w:t>Hollywood Loses a Federal Tax Credit – Will Congress Step In?” (Jan. 3, 2014).</w:t>
      </w:r>
    </w:p>
    <w:p w14:paraId="628B9622" w14:textId="77777777" w:rsidR="004850D0" w:rsidRPr="00AE1C15" w:rsidRDefault="00A57775" w:rsidP="009A6E8D">
      <w:pPr>
        <w:pStyle w:val="EndnoteText"/>
        <w:rPr>
          <w:color w:val="0070C0"/>
        </w:rPr>
      </w:pPr>
      <w:hyperlink r:id="rId13" w:history="1">
        <w:r w:rsidR="004850D0" w:rsidRPr="00AE1C15">
          <w:rPr>
            <w:rStyle w:val="Hyperlink"/>
            <w:color w:val="0070C0"/>
          </w:rPr>
          <w:t>http://www.thewrap.com/hollywood-loses-federal-tax-credit-will-government-step/</w:t>
        </w:r>
      </w:hyperlink>
    </w:p>
  </w:endnote>
  <w:endnote w:id="20">
    <w:p w14:paraId="200B853F" w14:textId="77777777" w:rsidR="004850D0" w:rsidRPr="00AE1C15" w:rsidRDefault="004850D0" w:rsidP="009A6E8D">
      <w:pPr>
        <w:pStyle w:val="Heading1"/>
        <w:ind w:left="0"/>
        <w:jc w:val="left"/>
        <w:rPr>
          <w:rFonts w:ascii="Calibri" w:eastAsia="Times New Roman" w:hAnsi="Calibri"/>
          <w:b w:val="0"/>
          <w:color w:val="0070C0"/>
          <w:sz w:val="20"/>
        </w:rPr>
      </w:pPr>
      <w:r w:rsidRPr="00AE1C15">
        <w:rPr>
          <w:rStyle w:val="EndnoteReference"/>
          <w:rFonts w:ascii="Calibri" w:hAnsi="Calibri"/>
          <w:b w:val="0"/>
          <w:color w:val="auto"/>
          <w:sz w:val="20"/>
        </w:rPr>
        <w:endnoteRef/>
      </w:r>
      <w:r w:rsidRPr="00AE1C15">
        <w:rPr>
          <w:rFonts w:ascii="Calibri" w:hAnsi="Calibri"/>
          <w:b w:val="0"/>
          <w:color w:val="auto"/>
          <w:sz w:val="20"/>
        </w:rPr>
        <w:t xml:space="preserve"> </w:t>
      </w:r>
      <w:r w:rsidRPr="00AE1C15">
        <w:rPr>
          <w:rFonts w:ascii="Calibri" w:eastAsia="Times New Roman" w:hAnsi="Calibri"/>
          <w:b w:val="0"/>
          <w:color w:val="auto"/>
          <w:sz w:val="20"/>
        </w:rPr>
        <w:t xml:space="preserve">26 U.S. Code § 181 - Treatment of certain qualified film and television productions, </w:t>
      </w:r>
      <w:hyperlink r:id="rId14" w:history="1">
        <w:r w:rsidRPr="00AE1C15">
          <w:rPr>
            <w:rStyle w:val="Hyperlink"/>
            <w:rFonts w:ascii="Calibri" w:eastAsia="Times New Roman" w:hAnsi="Calibri"/>
            <w:b w:val="0"/>
            <w:color w:val="0070C0"/>
            <w:sz w:val="20"/>
          </w:rPr>
          <w:t>http://www.law.cornell.edu/uscode/text/26/181</w:t>
        </w:r>
      </w:hyperlink>
    </w:p>
  </w:endnote>
  <w:endnote w:id="21">
    <w:p w14:paraId="75039521" w14:textId="7FD34793" w:rsidR="004850D0" w:rsidRPr="00AE1C15" w:rsidRDefault="004850D0" w:rsidP="009A6E8D">
      <w:pPr>
        <w:rPr>
          <w:rFonts w:ascii="Calibri" w:eastAsia="Times New Roman" w:hAnsi="Calibri"/>
          <w:sz w:val="20"/>
        </w:rPr>
      </w:pPr>
      <w:r w:rsidRPr="00AE1C15">
        <w:rPr>
          <w:rStyle w:val="EndnoteReference"/>
          <w:rFonts w:ascii="Calibri" w:hAnsi="Calibri"/>
          <w:sz w:val="20"/>
        </w:rPr>
        <w:endnoteRef/>
      </w:r>
      <w:r w:rsidRPr="00AE1C15">
        <w:rPr>
          <w:rFonts w:ascii="Calibri" w:hAnsi="Calibri"/>
          <w:sz w:val="20"/>
        </w:rPr>
        <w:t xml:space="preserve"> CBO</w:t>
      </w:r>
      <w:r w:rsidRPr="00AE1C15">
        <w:rPr>
          <w:rStyle w:val="z-BottomofFormChar"/>
          <w:rFonts w:ascii="Calibri" w:hAnsi="Calibri"/>
          <w:sz w:val="20"/>
          <w:szCs w:val="20"/>
        </w:rPr>
        <w:endnoteRef/>
      </w:r>
      <w:r w:rsidRPr="00AE1C15">
        <w:rPr>
          <w:rStyle w:val="z-BottomofFormChar"/>
          <w:rFonts w:ascii="Calibri" w:hAnsi="Calibri"/>
          <w:sz w:val="20"/>
          <w:szCs w:val="20"/>
        </w:rPr>
        <w:t>CBOC</w:t>
      </w:r>
      <w:r w:rsidRPr="00AE1C15">
        <w:rPr>
          <w:rFonts w:ascii="Calibri" w:hAnsi="Calibri"/>
          <w:sz w:val="20"/>
        </w:rPr>
        <w:t>, “</w:t>
      </w:r>
      <w:r w:rsidRPr="00AE1C15">
        <w:rPr>
          <w:rFonts w:ascii="Calibri" w:eastAsia="Times New Roman" w:hAnsi="Calibri"/>
          <w:sz w:val="20"/>
        </w:rPr>
        <w:t xml:space="preserve">Individual Income Tax Receipts,” See line </w:t>
      </w:r>
      <w:r w:rsidR="004332AD">
        <w:rPr>
          <w:rFonts w:ascii="Calibri" w:eastAsia="Times New Roman" w:hAnsi="Calibri"/>
          <w:sz w:val="20"/>
        </w:rPr>
        <w:t>38</w:t>
      </w:r>
      <w:r w:rsidRPr="00AE1C15">
        <w:rPr>
          <w:rFonts w:ascii="Calibri" w:eastAsia="Times New Roman" w:hAnsi="Calibri"/>
          <w:sz w:val="20"/>
        </w:rPr>
        <w:t xml:space="preserve">, </w:t>
      </w:r>
      <w:r w:rsidRPr="00AE1C15">
        <w:rPr>
          <w:rFonts w:ascii="Calibri" w:eastAsia="Times New Roman" w:hAnsi="Calibri"/>
          <w:color w:val="000000"/>
          <w:sz w:val="20"/>
        </w:rPr>
        <w:t>Depreciation Classification for Certain Race Horses.</w:t>
      </w:r>
      <w:r w:rsidRPr="00AE1C15">
        <w:rPr>
          <w:rFonts w:ascii="Calibri" w:eastAsia="Times New Roman" w:hAnsi="Calibri"/>
          <w:sz w:val="20"/>
        </w:rPr>
        <w:t xml:space="preserve"> </w:t>
      </w:r>
      <w:hyperlink w:history="1"/>
    </w:p>
  </w:endnote>
  <w:endnote w:id="22">
    <w:p w14:paraId="257D0BA0" w14:textId="77777777" w:rsidR="004850D0" w:rsidRPr="00AE1C15" w:rsidRDefault="004850D0" w:rsidP="009A6E8D">
      <w:pPr>
        <w:pStyle w:val="Heading3"/>
        <w:spacing w:before="0"/>
        <w:rPr>
          <w:rFonts w:eastAsia="Times New Roman"/>
          <w:b w:val="0"/>
          <w:color w:val="auto"/>
          <w:sz w:val="20"/>
          <w:szCs w:val="20"/>
        </w:rPr>
      </w:pPr>
      <w:r w:rsidRPr="00AE1C15">
        <w:rPr>
          <w:rStyle w:val="EndnoteReference"/>
          <w:b w:val="0"/>
          <w:color w:val="auto"/>
          <w:sz w:val="20"/>
          <w:szCs w:val="20"/>
        </w:rPr>
        <w:endnoteRef/>
      </w:r>
      <w:r w:rsidRPr="00AE1C15">
        <w:rPr>
          <w:b w:val="0"/>
          <w:color w:val="auto"/>
          <w:sz w:val="20"/>
          <w:szCs w:val="20"/>
        </w:rPr>
        <w:t xml:space="preserve"> American Horse Council (AHC), “</w:t>
      </w:r>
      <w:r w:rsidRPr="00AE1C15">
        <w:rPr>
          <w:rFonts w:eastAsia="Times New Roman"/>
          <w:b w:val="0"/>
          <w:color w:val="auto"/>
          <w:sz w:val="20"/>
          <w:szCs w:val="20"/>
        </w:rPr>
        <w:t>Legislative Issues &amp; Policies - Equine Equity Act of 2007,”</w:t>
      </w:r>
    </w:p>
    <w:p w14:paraId="4933BDAF" w14:textId="77777777" w:rsidR="004850D0" w:rsidRPr="00AE1C15" w:rsidRDefault="00A57775" w:rsidP="009A6E8D">
      <w:pPr>
        <w:pStyle w:val="EndnoteText"/>
        <w:rPr>
          <w:color w:val="0070C0"/>
        </w:rPr>
      </w:pPr>
      <w:hyperlink r:id="rId15" w:history="1">
        <w:r w:rsidR="004850D0" w:rsidRPr="00AE1C15">
          <w:rPr>
            <w:rStyle w:val="Hyperlink"/>
            <w:color w:val="0070C0"/>
          </w:rPr>
          <w:t>http://www.horsecouncil.org/legislation/equityact110.php</w:t>
        </w:r>
      </w:hyperlink>
    </w:p>
  </w:endnote>
  <w:endnote w:id="23">
    <w:p w14:paraId="6100C421" w14:textId="49A6FB02" w:rsidR="004850D0" w:rsidRPr="00AE1C15" w:rsidRDefault="004850D0" w:rsidP="009A6E8D">
      <w:pPr>
        <w:pStyle w:val="EndnoteText"/>
        <w:rPr>
          <w:color w:val="0070C0"/>
        </w:rPr>
      </w:pPr>
      <w:r w:rsidRPr="00AE1C15">
        <w:rPr>
          <w:rStyle w:val="EndnoteReference"/>
        </w:rPr>
        <w:endnoteRef/>
      </w:r>
      <w:r w:rsidRPr="00AE1C15">
        <w:t xml:space="preserve"> A</w:t>
      </w:r>
      <w:r w:rsidR="002472A3">
        <w:rPr>
          <w:lang w:val="en-US"/>
        </w:rPr>
        <w:t>HC</w:t>
      </w:r>
      <w:r w:rsidRPr="00AE1C15">
        <w:t xml:space="preserve">, “Equine Equity Act,” </w:t>
      </w:r>
      <w:hyperlink r:id="rId16" w:history="1">
        <w:r w:rsidRPr="00AE1C15">
          <w:rPr>
            <w:rStyle w:val="Hyperlink"/>
            <w:color w:val="0070C0"/>
          </w:rPr>
          <w:t>http://www.horsecouncil.org/legislation/equityact110.php</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C28A" w14:textId="77777777" w:rsidR="004850D0" w:rsidRDefault="004850D0" w:rsidP="008E1AFD">
    <w:pPr>
      <w:pStyle w:val="BasicParagraph"/>
      <w:jc w:val="center"/>
      <w:rPr>
        <w:color w:val="000080"/>
      </w:rPr>
    </w:pPr>
    <w:r>
      <w:rPr>
        <w:noProof/>
      </w:rPr>
      <mc:AlternateContent>
        <mc:Choice Requires="wps">
          <w:drawing>
            <wp:anchor distT="0" distB="0" distL="114300" distR="114300" simplePos="0" relativeHeight="251657728" behindDoc="0" locked="1" layoutInCell="1" allowOverlap="0" wp14:anchorId="00E1E68A" wp14:editId="7555F05B">
              <wp:simplePos x="0" y="0"/>
              <wp:positionH relativeFrom="column">
                <wp:posOffset>-927100</wp:posOffset>
              </wp:positionH>
              <wp:positionV relativeFrom="page">
                <wp:posOffset>9283700</wp:posOffset>
              </wp:positionV>
              <wp:extent cx="7772400" cy="901700"/>
              <wp:effectExtent l="0" t="0" r="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9017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E66DE95" w14:textId="77777777" w:rsidR="004850D0" w:rsidRPr="00977374" w:rsidRDefault="004850D0" w:rsidP="00507920">
                          <w:pPr>
                            <w:spacing w:line="240" w:lineRule="exact"/>
                            <w:jc w:val="center"/>
                            <w:rPr>
                              <w:rFonts w:ascii="Arial" w:hAnsi="Arial" w:cs="Arial"/>
                              <w:sz w:val="22"/>
                              <w:szCs w:val="22"/>
                            </w:rPr>
                          </w:pPr>
                          <w:r w:rsidRPr="00977374">
                            <w:rPr>
                              <w:rFonts w:ascii="Arial" w:hAnsi="Arial" w:cs="Arial"/>
                              <w:sz w:val="22"/>
                              <w:szCs w:val="22"/>
                            </w:rPr>
                            <w:t>1</w:t>
                          </w:r>
                          <w:r>
                            <w:rPr>
                              <w:rFonts w:ascii="Arial" w:hAnsi="Arial" w:cs="Arial"/>
                              <w:sz w:val="22"/>
                              <w:szCs w:val="22"/>
                            </w:rPr>
                            <w:t>726 M</w:t>
                          </w:r>
                          <w:r w:rsidRPr="00977374">
                            <w:rPr>
                              <w:rFonts w:ascii="Arial" w:hAnsi="Arial" w:cs="Arial"/>
                              <w:sz w:val="22"/>
                              <w:szCs w:val="22"/>
                            </w:rPr>
                            <w:t xml:space="preserve"> Street NW </w:t>
                          </w:r>
                          <w:r w:rsidRPr="00977374">
                            <w:rPr>
                              <w:rFonts w:ascii="Arial" w:hAnsi="Arial" w:cs="Arial"/>
                              <w:color w:val="FF0000"/>
                              <w:sz w:val="22"/>
                              <w:szCs w:val="22"/>
                            </w:rPr>
                            <w:t>•</w:t>
                          </w:r>
                          <w:r w:rsidRPr="00977374">
                            <w:rPr>
                              <w:rFonts w:ascii="Arial" w:hAnsi="Arial" w:cs="Arial"/>
                              <w:sz w:val="22"/>
                              <w:szCs w:val="22"/>
                            </w:rPr>
                            <w:t xml:space="preserve"> Suite </w:t>
                          </w:r>
                          <w:r>
                            <w:rPr>
                              <w:rFonts w:ascii="Arial" w:hAnsi="Arial" w:cs="Arial"/>
                              <w:sz w:val="22"/>
                              <w:szCs w:val="22"/>
                            </w:rPr>
                            <w:t>1</w:t>
                          </w:r>
                          <w:r w:rsidRPr="00977374">
                            <w:rPr>
                              <w:rFonts w:ascii="Arial" w:hAnsi="Arial" w:cs="Arial"/>
                              <w:sz w:val="22"/>
                              <w:szCs w:val="22"/>
                            </w:rPr>
                            <w:t>1</w:t>
                          </w:r>
                          <w:r>
                            <w:rPr>
                              <w:rFonts w:ascii="Arial" w:hAnsi="Arial" w:cs="Arial"/>
                              <w:sz w:val="22"/>
                              <w:szCs w:val="22"/>
                            </w:rPr>
                            <w:t>0</w:t>
                          </w:r>
                          <w:r w:rsidRPr="00977374">
                            <w:rPr>
                              <w:rFonts w:ascii="Arial" w:hAnsi="Arial" w:cs="Arial"/>
                              <w:sz w:val="22"/>
                              <w:szCs w:val="22"/>
                            </w:rPr>
                            <w:t xml:space="preserve">0 </w:t>
                          </w:r>
                          <w:r w:rsidRPr="00977374">
                            <w:rPr>
                              <w:rFonts w:ascii="Arial" w:hAnsi="Arial" w:cs="Arial"/>
                              <w:color w:val="FF0000"/>
                              <w:sz w:val="22"/>
                              <w:szCs w:val="22"/>
                            </w:rPr>
                            <w:t>•</w:t>
                          </w:r>
                          <w:r w:rsidRPr="00977374">
                            <w:rPr>
                              <w:rFonts w:ascii="Arial" w:hAnsi="Arial" w:cs="Arial"/>
                              <w:sz w:val="22"/>
                              <w:szCs w:val="22"/>
                            </w:rPr>
                            <w:t xml:space="preserve"> Washington, D.C. 20036 </w:t>
                          </w:r>
                          <w:r w:rsidRPr="00977374">
                            <w:rPr>
                              <w:rFonts w:ascii="Arial" w:hAnsi="Arial" w:cs="Arial"/>
                              <w:color w:val="FF0000"/>
                              <w:sz w:val="22"/>
                              <w:szCs w:val="22"/>
                            </w:rPr>
                            <w:t>•</w:t>
                          </w:r>
                          <w:r w:rsidRPr="00977374">
                            <w:rPr>
                              <w:rFonts w:ascii="Arial" w:hAnsi="Arial" w:cs="Arial"/>
                              <w:sz w:val="22"/>
                              <w:szCs w:val="22"/>
                            </w:rPr>
                            <w:t xml:space="preserve"> 202-</w:t>
                          </w:r>
                          <w:r>
                            <w:rPr>
                              <w:rFonts w:ascii="Arial" w:hAnsi="Arial" w:cs="Arial"/>
                              <w:sz w:val="22"/>
                              <w:szCs w:val="22"/>
                            </w:rPr>
                            <w:t>350-0144</w:t>
                          </w:r>
                        </w:p>
                        <w:p w14:paraId="6B75CB0D" w14:textId="77777777" w:rsidR="004850D0" w:rsidRDefault="00A57775" w:rsidP="00507920">
                          <w:pPr>
                            <w:pStyle w:val="BasicParagraph"/>
                            <w:spacing w:line="240" w:lineRule="auto"/>
                            <w:jc w:val="center"/>
                            <w:rPr>
                              <w:rFonts w:ascii="Arial" w:hAnsi="Arial" w:cs="Arial"/>
                              <w:color w:val="auto"/>
                              <w:spacing w:val="-5"/>
                              <w:sz w:val="22"/>
                              <w:szCs w:val="22"/>
                            </w:rPr>
                          </w:pPr>
                          <w:hyperlink r:id="rId1" w:history="1">
                            <w:r w:rsidR="004850D0" w:rsidRPr="009D4E21">
                              <w:rPr>
                                <w:rStyle w:val="Hyperlink"/>
                                <w:rFonts w:ascii="Arial" w:hAnsi="Arial" w:cs="Arial"/>
                                <w:sz w:val="22"/>
                                <w:szCs w:val="22"/>
                                <w:u w:color="003FA0"/>
                              </w:rPr>
                              <w:t>www.AmericansForTaxFairness.org</w:t>
                            </w:r>
                          </w:hyperlink>
                          <w:r w:rsidR="004850D0">
                            <w:rPr>
                              <w:rFonts w:ascii="Arial" w:hAnsi="Arial" w:cs="Arial"/>
                              <w:color w:val="auto"/>
                              <w:sz w:val="22"/>
                              <w:szCs w:val="22"/>
                              <w:u w:color="003FA0"/>
                            </w:rPr>
                            <w:t xml:space="preserve"> </w:t>
                          </w:r>
                          <w:r w:rsidR="004850D0" w:rsidRPr="00977374">
                            <w:rPr>
                              <w:rFonts w:ascii="Arial" w:hAnsi="Arial" w:cs="Arial"/>
                              <w:color w:val="FF0000"/>
                              <w:sz w:val="22"/>
                              <w:szCs w:val="22"/>
                            </w:rPr>
                            <w:t>•</w:t>
                          </w:r>
                          <w:r w:rsidR="004850D0" w:rsidRPr="00977374">
                            <w:rPr>
                              <w:rFonts w:ascii="Arial" w:hAnsi="Arial" w:cs="Arial"/>
                              <w:color w:val="auto"/>
                              <w:sz w:val="22"/>
                              <w:szCs w:val="22"/>
                            </w:rPr>
                            <w:t xml:space="preserve"> </w:t>
                          </w:r>
                          <w:r w:rsidR="004850D0" w:rsidRPr="00977374">
                            <w:rPr>
                              <w:rFonts w:ascii="Arial" w:hAnsi="Arial" w:cs="Arial"/>
                              <w:color w:val="auto"/>
                              <w:spacing w:val="-4"/>
                              <w:sz w:val="22"/>
                              <w:szCs w:val="22"/>
                            </w:rPr>
                            <w:t>@4TaxFairness</w:t>
                          </w:r>
                          <w:r w:rsidR="004850D0" w:rsidRPr="00977374">
                            <w:rPr>
                              <w:rFonts w:ascii="Arial" w:hAnsi="Arial" w:cs="Arial"/>
                              <w:color w:val="auto"/>
                              <w:sz w:val="22"/>
                              <w:szCs w:val="22"/>
                            </w:rPr>
                            <w:t xml:space="preserve"> </w:t>
                          </w:r>
                          <w:r w:rsidR="004850D0" w:rsidRPr="00977374">
                            <w:rPr>
                              <w:rFonts w:ascii="Arial" w:hAnsi="Arial" w:cs="Arial"/>
                              <w:color w:val="FF0000"/>
                              <w:sz w:val="22"/>
                              <w:szCs w:val="22"/>
                            </w:rPr>
                            <w:t>•</w:t>
                          </w:r>
                          <w:r w:rsidR="004850D0" w:rsidRPr="00977374">
                            <w:rPr>
                              <w:rFonts w:ascii="Arial" w:hAnsi="Arial" w:cs="Arial"/>
                              <w:color w:val="auto"/>
                              <w:sz w:val="22"/>
                              <w:szCs w:val="22"/>
                            </w:rPr>
                            <w:t xml:space="preserve"> </w:t>
                          </w:r>
                          <w:hyperlink r:id="rId2" w:history="1">
                            <w:r w:rsidR="004850D0" w:rsidRPr="009D4E21">
                              <w:rPr>
                                <w:rStyle w:val="Hyperlink"/>
                                <w:rFonts w:ascii="Arial" w:hAnsi="Arial" w:cs="Arial"/>
                                <w:spacing w:val="-5"/>
                                <w:sz w:val="22"/>
                                <w:szCs w:val="22"/>
                              </w:rPr>
                              <w:t>www.Facebook.com/Americans4TaxFairness</w:t>
                            </w:r>
                          </w:hyperlink>
                        </w:p>
                        <w:p w14:paraId="20FB9228" w14:textId="77777777" w:rsidR="004850D0" w:rsidRPr="00977374" w:rsidRDefault="004850D0" w:rsidP="00507920">
                          <w:pPr>
                            <w:pStyle w:val="BasicParagraph"/>
                            <w:spacing w:line="240" w:lineRule="auto"/>
                            <w:jc w:val="center"/>
                            <w:rPr>
                              <w:rFonts w:ascii="Arial" w:hAnsi="Arial" w:cs="Arial"/>
                              <w:color w:val="auto"/>
                              <w:spacing w:val="-5"/>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1E68A" id="_x0000_t202" coordsize="21600,21600" o:spt="202" path="m,l,21600r21600,l21600,xe">
              <v:stroke joinstyle="miter"/>
              <v:path gradientshapeok="t" o:connecttype="rect"/>
            </v:shapetype>
            <v:shape id="Text Box 3" o:spid="_x0000_s1026" type="#_x0000_t202" style="position:absolute;left:0;text-align:left;margin-left:-73pt;margin-top:731pt;width:612pt;height: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" o:allowoverlap="f" filled="f" stroked="f">
              <v:path arrowok="t"/>
              <v:textbox>
                <w:txbxContent>
                  <w:p w14:paraId="1E66DE95" w14:textId="77777777" w:rsidR="004850D0" w:rsidRPr="00977374" w:rsidRDefault="004850D0" w:rsidP="00507920">
                    <w:pPr>
                      <w:spacing w:line="240" w:lineRule="exact"/>
                      <w:jc w:val="center"/>
                      <w:rPr>
                        <w:rFonts w:ascii="Arial" w:hAnsi="Arial" w:cs="Arial"/>
                        <w:sz w:val="22"/>
                        <w:szCs w:val="22"/>
                      </w:rPr>
                    </w:pPr>
                    <w:r w:rsidRPr="00977374">
                      <w:rPr>
                        <w:rFonts w:ascii="Arial" w:hAnsi="Arial" w:cs="Arial"/>
                        <w:sz w:val="22"/>
                        <w:szCs w:val="22"/>
                      </w:rPr>
                      <w:t>1</w:t>
                    </w:r>
                    <w:r>
                      <w:rPr>
                        <w:rFonts w:ascii="Arial" w:hAnsi="Arial" w:cs="Arial"/>
                        <w:sz w:val="22"/>
                        <w:szCs w:val="22"/>
                      </w:rPr>
                      <w:t>726 M</w:t>
                    </w:r>
                    <w:r w:rsidRPr="00977374">
                      <w:rPr>
                        <w:rFonts w:ascii="Arial" w:hAnsi="Arial" w:cs="Arial"/>
                        <w:sz w:val="22"/>
                        <w:szCs w:val="22"/>
                      </w:rPr>
                      <w:t xml:space="preserve"> Street NW </w:t>
                    </w:r>
                    <w:r w:rsidRPr="00977374">
                      <w:rPr>
                        <w:rFonts w:ascii="Arial" w:hAnsi="Arial" w:cs="Arial"/>
                        <w:color w:val="FF0000"/>
                        <w:sz w:val="22"/>
                        <w:szCs w:val="22"/>
                      </w:rPr>
                      <w:t>•</w:t>
                    </w:r>
                    <w:r w:rsidRPr="00977374">
                      <w:rPr>
                        <w:rFonts w:ascii="Arial" w:hAnsi="Arial" w:cs="Arial"/>
                        <w:sz w:val="22"/>
                        <w:szCs w:val="22"/>
                      </w:rPr>
                      <w:t xml:space="preserve"> Suite </w:t>
                    </w:r>
                    <w:r>
                      <w:rPr>
                        <w:rFonts w:ascii="Arial" w:hAnsi="Arial" w:cs="Arial"/>
                        <w:sz w:val="22"/>
                        <w:szCs w:val="22"/>
                      </w:rPr>
                      <w:t>1</w:t>
                    </w:r>
                    <w:r w:rsidRPr="00977374">
                      <w:rPr>
                        <w:rFonts w:ascii="Arial" w:hAnsi="Arial" w:cs="Arial"/>
                        <w:sz w:val="22"/>
                        <w:szCs w:val="22"/>
                      </w:rPr>
                      <w:t>1</w:t>
                    </w:r>
                    <w:r>
                      <w:rPr>
                        <w:rFonts w:ascii="Arial" w:hAnsi="Arial" w:cs="Arial"/>
                        <w:sz w:val="22"/>
                        <w:szCs w:val="22"/>
                      </w:rPr>
                      <w:t>0</w:t>
                    </w:r>
                    <w:r w:rsidRPr="00977374">
                      <w:rPr>
                        <w:rFonts w:ascii="Arial" w:hAnsi="Arial" w:cs="Arial"/>
                        <w:sz w:val="22"/>
                        <w:szCs w:val="22"/>
                      </w:rPr>
                      <w:t xml:space="preserve">0 </w:t>
                    </w:r>
                    <w:r w:rsidRPr="00977374">
                      <w:rPr>
                        <w:rFonts w:ascii="Arial" w:hAnsi="Arial" w:cs="Arial"/>
                        <w:color w:val="FF0000"/>
                        <w:sz w:val="22"/>
                        <w:szCs w:val="22"/>
                      </w:rPr>
                      <w:t>•</w:t>
                    </w:r>
                    <w:r w:rsidRPr="00977374">
                      <w:rPr>
                        <w:rFonts w:ascii="Arial" w:hAnsi="Arial" w:cs="Arial"/>
                        <w:sz w:val="22"/>
                        <w:szCs w:val="22"/>
                      </w:rPr>
                      <w:t xml:space="preserve"> Washington, D.C. 20036 </w:t>
                    </w:r>
                    <w:r w:rsidRPr="00977374">
                      <w:rPr>
                        <w:rFonts w:ascii="Arial" w:hAnsi="Arial" w:cs="Arial"/>
                        <w:color w:val="FF0000"/>
                        <w:sz w:val="22"/>
                        <w:szCs w:val="22"/>
                      </w:rPr>
                      <w:t>•</w:t>
                    </w:r>
                    <w:r w:rsidRPr="00977374">
                      <w:rPr>
                        <w:rFonts w:ascii="Arial" w:hAnsi="Arial" w:cs="Arial"/>
                        <w:sz w:val="22"/>
                        <w:szCs w:val="22"/>
                      </w:rPr>
                      <w:t xml:space="preserve"> 202-</w:t>
                    </w:r>
                    <w:r>
                      <w:rPr>
                        <w:rFonts w:ascii="Arial" w:hAnsi="Arial" w:cs="Arial"/>
                        <w:sz w:val="22"/>
                        <w:szCs w:val="22"/>
                      </w:rPr>
                      <w:t>350-0144</w:t>
                    </w:r>
                  </w:p>
                  <w:p w14:paraId="6B75CB0D" w14:textId="77777777" w:rsidR="004850D0" w:rsidRDefault="00A57775" w:rsidP="00507920">
                    <w:pPr>
                      <w:pStyle w:val="BasicParagraph"/>
                      <w:spacing w:line="240" w:lineRule="auto"/>
                      <w:jc w:val="center"/>
                      <w:rPr>
                        <w:rFonts w:ascii="Arial" w:hAnsi="Arial" w:cs="Arial"/>
                        <w:color w:val="auto"/>
                        <w:spacing w:val="-5"/>
                        <w:sz w:val="22"/>
                        <w:szCs w:val="22"/>
                      </w:rPr>
                    </w:pPr>
                    <w:hyperlink r:id="rId3" w:history="1">
                      <w:r w:rsidR="004850D0" w:rsidRPr="009D4E21">
                        <w:rPr>
                          <w:rStyle w:val="Hyperlink"/>
                          <w:rFonts w:ascii="Arial" w:hAnsi="Arial" w:cs="Arial"/>
                          <w:sz w:val="22"/>
                          <w:szCs w:val="22"/>
                          <w:u w:color="003FA0"/>
                        </w:rPr>
                        <w:t>www.AmericansForTaxFairness.org</w:t>
                      </w:r>
                    </w:hyperlink>
                    <w:r w:rsidR="004850D0">
                      <w:rPr>
                        <w:rFonts w:ascii="Arial" w:hAnsi="Arial" w:cs="Arial"/>
                        <w:color w:val="auto"/>
                        <w:sz w:val="22"/>
                        <w:szCs w:val="22"/>
                        <w:u w:color="003FA0"/>
                      </w:rPr>
                      <w:t xml:space="preserve"> </w:t>
                    </w:r>
                    <w:r w:rsidR="004850D0" w:rsidRPr="00977374">
                      <w:rPr>
                        <w:rFonts w:ascii="Arial" w:hAnsi="Arial" w:cs="Arial"/>
                        <w:color w:val="FF0000"/>
                        <w:sz w:val="22"/>
                        <w:szCs w:val="22"/>
                      </w:rPr>
                      <w:t>•</w:t>
                    </w:r>
                    <w:r w:rsidR="004850D0" w:rsidRPr="00977374">
                      <w:rPr>
                        <w:rFonts w:ascii="Arial" w:hAnsi="Arial" w:cs="Arial"/>
                        <w:color w:val="auto"/>
                        <w:sz w:val="22"/>
                        <w:szCs w:val="22"/>
                      </w:rPr>
                      <w:t xml:space="preserve"> </w:t>
                    </w:r>
                    <w:r w:rsidR="004850D0" w:rsidRPr="00977374">
                      <w:rPr>
                        <w:rFonts w:ascii="Arial" w:hAnsi="Arial" w:cs="Arial"/>
                        <w:color w:val="auto"/>
                        <w:spacing w:val="-4"/>
                        <w:sz w:val="22"/>
                        <w:szCs w:val="22"/>
                      </w:rPr>
                      <w:t>@4TaxFairness</w:t>
                    </w:r>
                    <w:r w:rsidR="004850D0" w:rsidRPr="00977374">
                      <w:rPr>
                        <w:rFonts w:ascii="Arial" w:hAnsi="Arial" w:cs="Arial"/>
                        <w:color w:val="auto"/>
                        <w:sz w:val="22"/>
                        <w:szCs w:val="22"/>
                      </w:rPr>
                      <w:t xml:space="preserve"> </w:t>
                    </w:r>
                    <w:r w:rsidR="004850D0" w:rsidRPr="00977374">
                      <w:rPr>
                        <w:rFonts w:ascii="Arial" w:hAnsi="Arial" w:cs="Arial"/>
                        <w:color w:val="FF0000"/>
                        <w:sz w:val="22"/>
                        <w:szCs w:val="22"/>
                      </w:rPr>
                      <w:t>•</w:t>
                    </w:r>
                    <w:r w:rsidR="004850D0" w:rsidRPr="00977374">
                      <w:rPr>
                        <w:rFonts w:ascii="Arial" w:hAnsi="Arial" w:cs="Arial"/>
                        <w:color w:val="auto"/>
                        <w:sz w:val="22"/>
                        <w:szCs w:val="22"/>
                      </w:rPr>
                      <w:t xml:space="preserve"> </w:t>
                    </w:r>
                    <w:hyperlink r:id="rId4" w:history="1">
                      <w:r w:rsidR="004850D0" w:rsidRPr="009D4E21">
                        <w:rPr>
                          <w:rStyle w:val="Hyperlink"/>
                          <w:rFonts w:ascii="Arial" w:hAnsi="Arial" w:cs="Arial"/>
                          <w:spacing w:val="-5"/>
                          <w:sz w:val="22"/>
                          <w:szCs w:val="22"/>
                        </w:rPr>
                        <w:t>www.Facebook.com/Americans4TaxFairness</w:t>
                      </w:r>
                    </w:hyperlink>
                  </w:p>
                  <w:p w14:paraId="20FB9228" w14:textId="77777777" w:rsidR="004850D0" w:rsidRPr="00977374" w:rsidRDefault="004850D0" w:rsidP="00507920">
                    <w:pPr>
                      <w:pStyle w:val="BasicParagraph"/>
                      <w:spacing w:line="240" w:lineRule="auto"/>
                      <w:jc w:val="center"/>
                      <w:rPr>
                        <w:rFonts w:ascii="Arial" w:hAnsi="Arial" w:cs="Arial"/>
                        <w:color w:val="auto"/>
                        <w:spacing w:val="-5"/>
                        <w:sz w:val="22"/>
                        <w:szCs w:val="22"/>
                      </w:rPr>
                    </w:pP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2379E" w14:textId="77777777" w:rsidR="00240DB6" w:rsidRDefault="00240DB6" w:rsidP="00767622">
    <w:pPr>
      <w:spacing w:line="240" w:lineRule="exact"/>
      <w:ind w:left="-1440" w:right="-1440"/>
      <w:jc w:val="center"/>
      <w:rPr>
        <w:rFonts w:ascii="Arial" w:hAnsi="Arial" w:cs="Arial"/>
        <w:sz w:val="22"/>
        <w:szCs w:val="22"/>
      </w:rPr>
    </w:pPr>
  </w:p>
  <w:p w14:paraId="4B16ECC7" w14:textId="77777777" w:rsidR="00EF64AE" w:rsidRDefault="00EF64AE" w:rsidP="00767622">
    <w:pPr>
      <w:spacing w:line="240" w:lineRule="exact"/>
      <w:ind w:left="-1440" w:right="-1440"/>
      <w:jc w:val="center"/>
      <w:rPr>
        <w:rFonts w:ascii="Arial" w:hAnsi="Arial" w:cs="Arial"/>
        <w:sz w:val="22"/>
        <w:szCs w:val="22"/>
      </w:rPr>
    </w:pPr>
  </w:p>
  <w:p w14:paraId="6C9CE9CE" w14:textId="77777777" w:rsidR="004850D0" w:rsidRPr="00822D38" w:rsidRDefault="004850D0" w:rsidP="00767622">
    <w:pPr>
      <w:spacing w:line="240" w:lineRule="exact"/>
      <w:ind w:left="-1440" w:right="-1440"/>
      <w:jc w:val="center"/>
      <w:rPr>
        <w:rFonts w:ascii="Arial" w:hAnsi="Arial" w:cs="Arial"/>
        <w:sz w:val="22"/>
        <w:szCs w:val="22"/>
      </w:rPr>
    </w:pPr>
    <w:r w:rsidRPr="00822D38">
      <w:rPr>
        <w:rFonts w:ascii="Arial" w:hAnsi="Arial" w:cs="Arial"/>
        <w:sz w:val="22"/>
        <w:szCs w:val="22"/>
      </w:rPr>
      <w:t xml:space="preserve">1726 M Street NW </w:t>
    </w:r>
    <w:r w:rsidRPr="00822D38">
      <w:rPr>
        <w:rFonts w:ascii="Arial" w:hAnsi="Arial" w:cs="Arial"/>
        <w:color w:val="FF0000"/>
        <w:sz w:val="22"/>
        <w:szCs w:val="22"/>
      </w:rPr>
      <w:t>•</w:t>
    </w:r>
    <w:r w:rsidRPr="00822D38">
      <w:rPr>
        <w:rFonts w:ascii="Arial" w:hAnsi="Arial" w:cs="Arial"/>
        <w:sz w:val="22"/>
        <w:szCs w:val="22"/>
      </w:rPr>
      <w:t xml:space="preserve"> Suite 1100 </w:t>
    </w:r>
    <w:r w:rsidRPr="00822D38">
      <w:rPr>
        <w:rFonts w:ascii="Arial" w:hAnsi="Arial" w:cs="Arial"/>
        <w:color w:val="FF0000"/>
        <w:sz w:val="22"/>
        <w:szCs w:val="22"/>
      </w:rPr>
      <w:t>•</w:t>
    </w:r>
    <w:r w:rsidRPr="00822D38">
      <w:rPr>
        <w:rFonts w:ascii="Arial" w:hAnsi="Arial" w:cs="Arial"/>
        <w:sz w:val="22"/>
        <w:szCs w:val="22"/>
      </w:rPr>
      <w:t xml:space="preserve"> Washington, D.C. 20036 </w:t>
    </w:r>
    <w:r w:rsidRPr="00822D38">
      <w:rPr>
        <w:rFonts w:ascii="Arial" w:hAnsi="Arial" w:cs="Arial"/>
        <w:color w:val="FF0000"/>
        <w:sz w:val="22"/>
        <w:szCs w:val="22"/>
      </w:rPr>
      <w:t>•</w:t>
    </w:r>
    <w:r w:rsidRPr="00822D38">
      <w:rPr>
        <w:rFonts w:ascii="Arial" w:hAnsi="Arial" w:cs="Arial"/>
        <w:sz w:val="22"/>
        <w:szCs w:val="22"/>
      </w:rPr>
      <w:t xml:space="preserve"> 202-350-0144</w:t>
    </w:r>
  </w:p>
  <w:p w14:paraId="5AC26E75" w14:textId="77777777" w:rsidR="004850D0" w:rsidRPr="00822D38" w:rsidRDefault="00A57775" w:rsidP="00767622">
    <w:pPr>
      <w:pStyle w:val="BasicParagraph"/>
      <w:spacing w:line="240" w:lineRule="auto"/>
      <w:ind w:left="-1440" w:right="-1440"/>
      <w:jc w:val="center"/>
      <w:rPr>
        <w:rFonts w:ascii="Arial" w:hAnsi="Arial" w:cs="Arial"/>
        <w:color w:val="auto"/>
        <w:spacing w:val="-5"/>
        <w:sz w:val="22"/>
        <w:szCs w:val="22"/>
      </w:rPr>
    </w:pPr>
    <w:hyperlink r:id="rId1" w:history="1">
      <w:r w:rsidR="004850D0" w:rsidRPr="00822D38">
        <w:rPr>
          <w:rStyle w:val="Hyperlink"/>
          <w:rFonts w:ascii="Arial" w:hAnsi="Arial" w:cs="Arial"/>
          <w:sz w:val="22"/>
          <w:szCs w:val="22"/>
          <w:u w:color="003FA0"/>
        </w:rPr>
        <w:t>www.AmericansForTaxFairness.org</w:t>
      </w:r>
    </w:hyperlink>
    <w:r w:rsidR="004850D0" w:rsidRPr="00822D38">
      <w:rPr>
        <w:rFonts w:ascii="Arial" w:hAnsi="Arial" w:cs="Arial"/>
        <w:color w:val="auto"/>
        <w:sz w:val="22"/>
        <w:szCs w:val="22"/>
        <w:u w:color="003FA0"/>
      </w:rPr>
      <w:t xml:space="preserve"> </w:t>
    </w:r>
    <w:r w:rsidR="004850D0" w:rsidRPr="00822D38">
      <w:rPr>
        <w:rFonts w:ascii="Arial" w:hAnsi="Arial" w:cs="Arial"/>
        <w:color w:val="FF0000"/>
        <w:sz w:val="22"/>
        <w:szCs w:val="22"/>
      </w:rPr>
      <w:t>•</w:t>
    </w:r>
    <w:r w:rsidR="004850D0" w:rsidRPr="00822D38">
      <w:rPr>
        <w:rFonts w:ascii="Arial" w:hAnsi="Arial" w:cs="Arial"/>
        <w:color w:val="auto"/>
        <w:sz w:val="22"/>
        <w:szCs w:val="22"/>
      </w:rPr>
      <w:t xml:space="preserve"> </w:t>
    </w:r>
    <w:r w:rsidR="004850D0" w:rsidRPr="00822D38">
      <w:rPr>
        <w:rFonts w:ascii="Arial" w:hAnsi="Arial" w:cs="Arial"/>
        <w:color w:val="auto"/>
        <w:spacing w:val="-4"/>
        <w:sz w:val="22"/>
        <w:szCs w:val="22"/>
      </w:rPr>
      <w:t>@4TaxFairness</w:t>
    </w:r>
    <w:r w:rsidR="004850D0" w:rsidRPr="00822D38">
      <w:rPr>
        <w:rFonts w:ascii="Arial" w:hAnsi="Arial" w:cs="Arial"/>
        <w:color w:val="auto"/>
        <w:sz w:val="22"/>
        <w:szCs w:val="22"/>
      </w:rPr>
      <w:t xml:space="preserve"> </w:t>
    </w:r>
    <w:r w:rsidR="004850D0" w:rsidRPr="00822D38">
      <w:rPr>
        <w:rFonts w:ascii="Arial" w:hAnsi="Arial" w:cs="Arial"/>
        <w:color w:val="FF0000"/>
        <w:sz w:val="22"/>
        <w:szCs w:val="22"/>
      </w:rPr>
      <w:t>•</w:t>
    </w:r>
    <w:r w:rsidR="004850D0">
      <w:rPr>
        <w:rFonts w:ascii="Arial" w:hAnsi="Arial" w:cs="Arial"/>
        <w:color w:val="auto"/>
        <w:sz w:val="22"/>
        <w:szCs w:val="22"/>
      </w:rPr>
      <w:t xml:space="preserve"> </w:t>
    </w:r>
    <w:hyperlink r:id="rId2" w:history="1">
      <w:r w:rsidR="004850D0" w:rsidRPr="002721B5">
        <w:rPr>
          <w:rStyle w:val="Hyperlink"/>
          <w:rFonts w:ascii="Arial" w:hAnsi="Arial" w:cs="Arial"/>
          <w:spacing w:val="-5"/>
          <w:sz w:val="22"/>
          <w:szCs w:val="22"/>
        </w:rPr>
        <w:t>www.Facebook.com/Americans4TaxFairness</w:t>
      </w:r>
    </w:hyperlink>
  </w:p>
  <w:p w14:paraId="70146A9F" w14:textId="77777777" w:rsidR="004850D0" w:rsidRDefault="00485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A95D3" w14:textId="77777777" w:rsidR="00A57775" w:rsidRDefault="00A57775">
      <w:r>
        <w:separator/>
      </w:r>
    </w:p>
  </w:footnote>
  <w:footnote w:type="continuationSeparator" w:id="0">
    <w:p w14:paraId="74C61585" w14:textId="77777777" w:rsidR="00A57775" w:rsidRDefault="00A57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76FB8" w14:textId="77777777" w:rsidR="004850D0" w:rsidRPr="0098713D" w:rsidRDefault="004850D0">
    <w:pPr>
      <w:pStyle w:val="Header"/>
      <w:jc w:val="right"/>
      <w:rPr>
        <w:rFonts w:ascii="Calibri" w:hAnsi="Calibri" w:cs="Calibri"/>
      </w:rPr>
    </w:pPr>
    <w:r w:rsidRPr="0098713D">
      <w:rPr>
        <w:rFonts w:ascii="Calibri" w:hAnsi="Calibri" w:cs="Calibri"/>
      </w:rPr>
      <w:fldChar w:fldCharType="begin"/>
    </w:r>
    <w:r w:rsidRPr="0098713D">
      <w:rPr>
        <w:rFonts w:ascii="Calibri" w:hAnsi="Calibri" w:cs="Calibri"/>
      </w:rPr>
      <w:instrText xml:space="preserve"> PAGE   \* MERGEFORMAT </w:instrText>
    </w:r>
    <w:r w:rsidRPr="0098713D">
      <w:rPr>
        <w:rFonts w:ascii="Calibri" w:hAnsi="Calibri" w:cs="Calibri"/>
      </w:rPr>
      <w:fldChar w:fldCharType="separate"/>
    </w:r>
    <w:r w:rsidR="002656DA">
      <w:rPr>
        <w:rFonts w:ascii="Calibri" w:hAnsi="Calibri" w:cs="Calibri"/>
        <w:noProof/>
      </w:rPr>
      <w:t>4</w:t>
    </w:r>
    <w:r w:rsidRPr="0098713D">
      <w:rPr>
        <w:rFonts w:ascii="Calibri" w:hAnsi="Calibri" w:cs="Calibri"/>
        <w:noProof/>
      </w:rPr>
      <w:fldChar w:fldCharType="end"/>
    </w:r>
  </w:p>
  <w:p w14:paraId="4035D410" w14:textId="77777777" w:rsidR="004850D0" w:rsidRDefault="00485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3909D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5316C"/>
    <w:multiLevelType w:val="multilevel"/>
    <w:tmpl w:val="8CD6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125B9B"/>
    <w:multiLevelType w:val="hybridMultilevel"/>
    <w:tmpl w:val="CD82A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2A0AF7"/>
    <w:multiLevelType w:val="hybridMultilevel"/>
    <w:tmpl w:val="7B9C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C12CD"/>
    <w:multiLevelType w:val="hybridMultilevel"/>
    <w:tmpl w:val="DDB02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88719E"/>
    <w:multiLevelType w:val="hybridMultilevel"/>
    <w:tmpl w:val="6CF2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DB000E"/>
    <w:multiLevelType w:val="hybridMultilevel"/>
    <w:tmpl w:val="8A546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596219"/>
    <w:multiLevelType w:val="hybridMultilevel"/>
    <w:tmpl w:val="4E601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4E3302"/>
    <w:multiLevelType w:val="hybridMultilevel"/>
    <w:tmpl w:val="6B04E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404DE5"/>
    <w:multiLevelType w:val="hybridMultilevel"/>
    <w:tmpl w:val="13DEA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F80B54"/>
    <w:multiLevelType w:val="hybridMultilevel"/>
    <w:tmpl w:val="40EC00CE"/>
    <w:lvl w:ilvl="0" w:tplc="04090001">
      <w:start w:val="1"/>
      <w:numFmt w:val="bullet"/>
      <w:lvlText w:val=""/>
      <w:lvlJc w:val="left"/>
      <w:pPr>
        <w:ind w:left="720" w:hanging="360"/>
      </w:pPr>
      <w:rPr>
        <w:rFonts w:ascii="Symbol" w:hAnsi="Symbol"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C94BDD"/>
    <w:multiLevelType w:val="hybridMultilevel"/>
    <w:tmpl w:val="F85A5DF0"/>
    <w:lvl w:ilvl="0" w:tplc="37FC408E">
      <w:start w:val="1"/>
      <w:numFmt w:val="decimal"/>
      <w:lvlText w:val="%1."/>
      <w:lvlJc w:val="left"/>
      <w:pPr>
        <w:ind w:left="360" w:hanging="360"/>
      </w:pPr>
      <w:rPr>
        <w:b/>
        <w:color w:val="4F81B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29E6976"/>
    <w:multiLevelType w:val="hybridMultilevel"/>
    <w:tmpl w:val="DB90D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BB0C68"/>
    <w:multiLevelType w:val="hybridMultilevel"/>
    <w:tmpl w:val="4C023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A1667E"/>
    <w:multiLevelType w:val="hybridMultilevel"/>
    <w:tmpl w:val="47C60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0C609A"/>
    <w:multiLevelType w:val="hybridMultilevel"/>
    <w:tmpl w:val="9510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2"/>
  </w:num>
  <w:num w:numId="5">
    <w:abstractNumId w:val="8"/>
  </w:num>
  <w:num w:numId="6">
    <w:abstractNumId w:val="0"/>
  </w:num>
  <w:num w:numId="7">
    <w:abstractNumId w:val="10"/>
  </w:num>
  <w:num w:numId="8">
    <w:abstractNumId w:val="13"/>
  </w:num>
  <w:num w:numId="9">
    <w:abstractNumId w:val="9"/>
  </w:num>
  <w:num w:numId="10">
    <w:abstractNumId w:val="4"/>
  </w:num>
  <w:num w:numId="11">
    <w:abstractNumId w:val="7"/>
  </w:num>
  <w:num w:numId="12">
    <w:abstractNumId w:val="11"/>
  </w:num>
  <w:num w:numId="13">
    <w:abstractNumId w:val="5"/>
  </w:num>
  <w:num w:numId="14">
    <w:abstractNumId w:val="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FD"/>
    <w:rsid w:val="000076FA"/>
    <w:rsid w:val="0003431A"/>
    <w:rsid w:val="00035CE4"/>
    <w:rsid w:val="0006626F"/>
    <w:rsid w:val="000B405E"/>
    <w:rsid w:val="000F3C85"/>
    <w:rsid w:val="001355C7"/>
    <w:rsid w:val="00206CCC"/>
    <w:rsid w:val="00222EC5"/>
    <w:rsid w:val="00240DB6"/>
    <w:rsid w:val="002472A3"/>
    <w:rsid w:val="0025538F"/>
    <w:rsid w:val="002656DA"/>
    <w:rsid w:val="002809D8"/>
    <w:rsid w:val="002840DC"/>
    <w:rsid w:val="002D0E41"/>
    <w:rsid w:val="00377F7B"/>
    <w:rsid w:val="003E64CE"/>
    <w:rsid w:val="004315DC"/>
    <w:rsid w:val="004332AD"/>
    <w:rsid w:val="00470AAE"/>
    <w:rsid w:val="0047782C"/>
    <w:rsid w:val="004850D0"/>
    <w:rsid w:val="004A6C54"/>
    <w:rsid w:val="004D30E0"/>
    <w:rsid w:val="004D767D"/>
    <w:rsid w:val="004F52AA"/>
    <w:rsid w:val="00507920"/>
    <w:rsid w:val="00537C85"/>
    <w:rsid w:val="005670C6"/>
    <w:rsid w:val="006571E4"/>
    <w:rsid w:val="00695CD4"/>
    <w:rsid w:val="006C346B"/>
    <w:rsid w:val="006C7169"/>
    <w:rsid w:val="006D3072"/>
    <w:rsid w:val="00732151"/>
    <w:rsid w:val="00741C82"/>
    <w:rsid w:val="007430FB"/>
    <w:rsid w:val="00745F33"/>
    <w:rsid w:val="00767622"/>
    <w:rsid w:val="007928BC"/>
    <w:rsid w:val="007D5368"/>
    <w:rsid w:val="007F0911"/>
    <w:rsid w:val="00822D38"/>
    <w:rsid w:val="00843F79"/>
    <w:rsid w:val="00854D45"/>
    <w:rsid w:val="00892043"/>
    <w:rsid w:val="008E1AFD"/>
    <w:rsid w:val="00963778"/>
    <w:rsid w:val="00972351"/>
    <w:rsid w:val="0098713D"/>
    <w:rsid w:val="00990B6A"/>
    <w:rsid w:val="00996B5D"/>
    <w:rsid w:val="009A6E8D"/>
    <w:rsid w:val="009F1C3D"/>
    <w:rsid w:val="00A222B9"/>
    <w:rsid w:val="00A477C0"/>
    <w:rsid w:val="00A55C69"/>
    <w:rsid w:val="00A57775"/>
    <w:rsid w:val="00A57BD4"/>
    <w:rsid w:val="00A90C2D"/>
    <w:rsid w:val="00A94052"/>
    <w:rsid w:val="00AE1C15"/>
    <w:rsid w:val="00AF7C79"/>
    <w:rsid w:val="00B06E28"/>
    <w:rsid w:val="00B16422"/>
    <w:rsid w:val="00B36CF2"/>
    <w:rsid w:val="00B4106B"/>
    <w:rsid w:val="00B60256"/>
    <w:rsid w:val="00B94291"/>
    <w:rsid w:val="00BB2270"/>
    <w:rsid w:val="00BD0CBB"/>
    <w:rsid w:val="00C07E50"/>
    <w:rsid w:val="00C209B7"/>
    <w:rsid w:val="00C22581"/>
    <w:rsid w:val="00C30382"/>
    <w:rsid w:val="00C538D6"/>
    <w:rsid w:val="00CA6E2C"/>
    <w:rsid w:val="00CF37DE"/>
    <w:rsid w:val="00D27D29"/>
    <w:rsid w:val="00D94916"/>
    <w:rsid w:val="00DA4425"/>
    <w:rsid w:val="00DE413F"/>
    <w:rsid w:val="00DF79C0"/>
    <w:rsid w:val="00E11C22"/>
    <w:rsid w:val="00E31C28"/>
    <w:rsid w:val="00E516D8"/>
    <w:rsid w:val="00E63031"/>
    <w:rsid w:val="00E824B1"/>
    <w:rsid w:val="00EA3476"/>
    <w:rsid w:val="00EA5B06"/>
    <w:rsid w:val="00EF64AE"/>
    <w:rsid w:val="00F84F5C"/>
    <w:rsid w:val="00F93953"/>
    <w:rsid w:val="00F96FAD"/>
    <w:rsid w:val="00FA5766"/>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447AD"/>
  <w14:defaultImageDpi w14:val="300"/>
  <w15:docId w15:val="{7E0E0CE3-6BBD-44C4-A692-ABB80559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left="360"/>
      <w:jc w:val="center"/>
      <w:outlineLvl w:val="0"/>
    </w:pPr>
    <w:rPr>
      <w:rFonts w:ascii="Helvetica" w:hAnsi="Helvetica"/>
      <w:b/>
      <w:color w:val="000000"/>
    </w:rPr>
  </w:style>
  <w:style w:type="paragraph" w:styleId="Heading2">
    <w:name w:val="heading 2"/>
    <w:basedOn w:val="Normal"/>
    <w:next w:val="Normal"/>
    <w:link w:val="Heading2Char"/>
    <w:unhideWhenUsed/>
    <w:qFormat/>
    <w:rsid w:val="0098713D"/>
    <w:pPr>
      <w:keepNext/>
      <w:spacing w:before="240" w:after="60"/>
      <w:outlineLvl w:val="1"/>
    </w:pPr>
    <w:rPr>
      <w:rFonts w:ascii="Calibri Light" w:eastAsia="Times New Roman" w:hAnsi="Calibri Light"/>
      <w:b/>
      <w:bCs/>
      <w:i/>
      <w:iCs/>
      <w:sz w:val="28"/>
      <w:szCs w:val="28"/>
      <w:lang w:val="x-none" w:eastAsia="x-none"/>
    </w:rPr>
  </w:style>
  <w:style w:type="paragraph" w:styleId="Heading3">
    <w:name w:val="heading 3"/>
    <w:basedOn w:val="Normal"/>
    <w:next w:val="Normal"/>
    <w:link w:val="Heading3Char"/>
    <w:uiPriority w:val="9"/>
    <w:unhideWhenUsed/>
    <w:qFormat/>
    <w:rsid w:val="009A6E8D"/>
    <w:pPr>
      <w:keepNext/>
      <w:keepLines/>
      <w:spacing w:before="200"/>
      <w:outlineLvl w:val="2"/>
    </w:pPr>
    <w:rPr>
      <w:rFonts w:ascii="Calibri" w:eastAsia="MS Gothic" w:hAnsi="Calibri"/>
      <w:b/>
      <w:bCs/>
      <w:color w:val="4F81B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Times-Roman" w:eastAsia="Times New Roman" w:hAnsi="Times-Roman"/>
      <w:color w:val="000000"/>
    </w:rPr>
  </w:style>
  <w:style w:type="paragraph" w:customStyle="1" w:styleId="ColorfulList-Accent11">
    <w:name w:val="Colorful List - Accent 11"/>
    <w:basedOn w:val="Normal"/>
    <w:uiPriority w:val="99"/>
    <w:qFormat/>
    <w:rsid w:val="0025538F"/>
    <w:pPr>
      <w:spacing w:after="200" w:line="276" w:lineRule="auto"/>
      <w:ind w:left="720"/>
      <w:contextualSpacing/>
    </w:pPr>
    <w:rPr>
      <w:rFonts w:ascii="Calibri" w:eastAsia="Calibri" w:hAnsi="Calibri"/>
      <w:sz w:val="22"/>
      <w:szCs w:val="22"/>
    </w:rPr>
  </w:style>
  <w:style w:type="paragraph" w:styleId="ListParagraph">
    <w:name w:val="List Paragraph"/>
    <w:basedOn w:val="Normal"/>
    <w:link w:val="ListParagraphChar"/>
    <w:uiPriority w:val="34"/>
    <w:qFormat/>
    <w:rsid w:val="00A55C69"/>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A55C69"/>
    <w:rPr>
      <w:rFonts w:ascii="Calibri" w:eastAsia="Calibri" w:hAnsi="Calibri"/>
      <w:sz w:val="22"/>
      <w:szCs w:val="22"/>
    </w:rPr>
  </w:style>
  <w:style w:type="character" w:customStyle="1" w:styleId="Heading2Char">
    <w:name w:val="Heading 2 Char"/>
    <w:link w:val="Heading2"/>
    <w:rsid w:val="0098713D"/>
    <w:rPr>
      <w:rFonts w:ascii="Calibri Light" w:eastAsia="Times New Roman" w:hAnsi="Calibri Light"/>
      <w:b/>
      <w:bCs/>
      <w:i/>
      <w:iCs/>
      <w:sz w:val="28"/>
      <w:szCs w:val="28"/>
      <w:lang w:val="x-none" w:eastAsia="x-none"/>
    </w:rPr>
  </w:style>
  <w:style w:type="paragraph" w:styleId="CommentText">
    <w:name w:val="annotation text"/>
    <w:basedOn w:val="Normal"/>
    <w:link w:val="CommentTextChar"/>
    <w:uiPriority w:val="99"/>
    <w:rsid w:val="0098713D"/>
    <w:rPr>
      <w:sz w:val="20"/>
    </w:rPr>
  </w:style>
  <w:style w:type="character" w:customStyle="1" w:styleId="CommentTextChar">
    <w:name w:val="Comment Text Char"/>
    <w:basedOn w:val="DefaultParagraphFont"/>
    <w:link w:val="CommentText"/>
    <w:uiPriority w:val="99"/>
    <w:rsid w:val="0098713D"/>
  </w:style>
  <w:style w:type="paragraph" w:customStyle="1" w:styleId="FreeForm">
    <w:name w:val="Free Form"/>
    <w:rsid w:val="0098713D"/>
    <w:rPr>
      <w:rFonts w:ascii="Helvetica" w:eastAsia="ヒラギノ角ゴ Pro W3" w:hAnsi="Helvetica"/>
      <w:color w:val="000000"/>
      <w:sz w:val="24"/>
    </w:rPr>
  </w:style>
  <w:style w:type="paragraph" w:styleId="EndnoteText">
    <w:name w:val="endnote text"/>
    <w:basedOn w:val="Normal"/>
    <w:link w:val="EndnoteTextChar"/>
    <w:uiPriority w:val="99"/>
    <w:rsid w:val="0098713D"/>
    <w:rPr>
      <w:rFonts w:ascii="Calibri" w:eastAsia="Calibri" w:hAnsi="Calibri"/>
      <w:sz w:val="20"/>
      <w:lang w:val="x-none" w:eastAsia="x-none"/>
    </w:rPr>
  </w:style>
  <w:style w:type="character" w:customStyle="1" w:styleId="EndnoteTextChar">
    <w:name w:val="Endnote Text Char"/>
    <w:link w:val="EndnoteText"/>
    <w:uiPriority w:val="99"/>
    <w:rsid w:val="0098713D"/>
    <w:rPr>
      <w:rFonts w:ascii="Calibri" w:eastAsia="Calibri" w:hAnsi="Calibri"/>
      <w:lang w:val="x-none" w:eastAsia="x-none"/>
    </w:rPr>
  </w:style>
  <w:style w:type="character" w:styleId="EndnoteReference">
    <w:name w:val="endnote reference"/>
    <w:uiPriority w:val="99"/>
    <w:rsid w:val="0098713D"/>
    <w:rPr>
      <w:rFonts w:cs="Times New Roman"/>
      <w:vertAlign w:val="superscript"/>
    </w:rPr>
  </w:style>
  <w:style w:type="paragraph" w:customStyle="1" w:styleId="Default">
    <w:name w:val="Default"/>
    <w:rsid w:val="0098713D"/>
    <w:pPr>
      <w:autoSpaceDE w:val="0"/>
      <w:autoSpaceDN w:val="0"/>
      <w:adjustRightInd w:val="0"/>
    </w:pPr>
    <w:rPr>
      <w:rFonts w:ascii="Calibri" w:hAnsi="Calibri" w:cs="Calibri"/>
      <w:color w:val="000000"/>
      <w:sz w:val="24"/>
      <w:szCs w:val="24"/>
    </w:rPr>
  </w:style>
  <w:style w:type="paragraph" w:styleId="NoSpacing">
    <w:name w:val="No Spacing"/>
    <w:uiPriority w:val="1"/>
    <w:qFormat/>
    <w:rsid w:val="0098713D"/>
    <w:rPr>
      <w:rFonts w:ascii="Calibri" w:eastAsia="Calibri" w:hAnsi="Calibri"/>
      <w:sz w:val="22"/>
      <w:szCs w:val="22"/>
    </w:rPr>
  </w:style>
  <w:style w:type="character" w:customStyle="1" w:styleId="HeaderChar">
    <w:name w:val="Header Char"/>
    <w:link w:val="Header"/>
    <w:uiPriority w:val="99"/>
    <w:rsid w:val="0098713D"/>
    <w:rPr>
      <w:sz w:val="24"/>
    </w:rPr>
  </w:style>
  <w:style w:type="paragraph" w:styleId="BalloonText">
    <w:name w:val="Balloon Text"/>
    <w:basedOn w:val="Normal"/>
    <w:link w:val="BalloonTextChar"/>
    <w:rsid w:val="00035CE4"/>
    <w:rPr>
      <w:rFonts w:ascii="Segoe UI" w:hAnsi="Segoe UI" w:cs="Segoe UI"/>
      <w:sz w:val="18"/>
      <w:szCs w:val="18"/>
    </w:rPr>
  </w:style>
  <w:style w:type="character" w:customStyle="1" w:styleId="BalloonTextChar">
    <w:name w:val="Balloon Text Char"/>
    <w:link w:val="BalloonText"/>
    <w:rsid w:val="00035CE4"/>
    <w:rPr>
      <w:rFonts w:ascii="Segoe UI" w:hAnsi="Segoe UI" w:cs="Segoe UI"/>
      <w:sz w:val="18"/>
      <w:szCs w:val="18"/>
    </w:rPr>
  </w:style>
  <w:style w:type="paragraph" w:styleId="Revision">
    <w:name w:val="Revision"/>
    <w:hidden/>
    <w:uiPriority w:val="99"/>
    <w:semiHidden/>
    <w:rsid w:val="00F84F5C"/>
    <w:rPr>
      <w:sz w:val="24"/>
    </w:rPr>
  </w:style>
  <w:style w:type="character" w:customStyle="1" w:styleId="Heading3Char">
    <w:name w:val="Heading 3 Char"/>
    <w:link w:val="Heading3"/>
    <w:uiPriority w:val="9"/>
    <w:rsid w:val="009A6E8D"/>
    <w:rPr>
      <w:rFonts w:ascii="Calibri" w:eastAsia="MS Gothic" w:hAnsi="Calibri"/>
      <w:b/>
      <w:bCs/>
      <w:color w:val="4F81BD"/>
      <w:sz w:val="24"/>
      <w:szCs w:val="22"/>
    </w:rPr>
  </w:style>
  <w:style w:type="paragraph" w:styleId="z-BottomofForm">
    <w:name w:val="HTML Bottom of Form"/>
    <w:basedOn w:val="Normal"/>
    <w:next w:val="Normal"/>
    <w:link w:val="z-BottomofFormChar"/>
    <w:hidden/>
    <w:uiPriority w:val="99"/>
    <w:unhideWhenUsed/>
    <w:rsid w:val="009A6E8D"/>
    <w:pPr>
      <w:pBdr>
        <w:top w:val="single" w:sz="6" w:space="1" w:color="auto"/>
      </w:pBdr>
      <w:jc w:val="center"/>
    </w:pPr>
    <w:rPr>
      <w:rFonts w:ascii="Arial" w:eastAsia="MS Mincho" w:hAnsi="Arial" w:cs="Arial"/>
      <w:vanish/>
      <w:sz w:val="16"/>
      <w:szCs w:val="16"/>
    </w:rPr>
  </w:style>
  <w:style w:type="character" w:customStyle="1" w:styleId="z-BottomofFormChar">
    <w:name w:val="z-Bottom of Form Char"/>
    <w:link w:val="z-BottomofForm"/>
    <w:uiPriority w:val="99"/>
    <w:rsid w:val="009A6E8D"/>
    <w:rPr>
      <w:rFonts w:ascii="Arial" w:eastAsia="MS Mincho" w:hAnsi="Arial" w:cs="Arial"/>
      <w:vanish/>
      <w:sz w:val="16"/>
      <w:szCs w:val="16"/>
    </w:rPr>
  </w:style>
  <w:style w:type="character" w:styleId="CommentReference">
    <w:name w:val="annotation reference"/>
    <w:uiPriority w:val="99"/>
    <w:unhideWhenUsed/>
    <w:rsid w:val="009A6E8D"/>
    <w:rPr>
      <w:sz w:val="16"/>
      <w:szCs w:val="16"/>
    </w:rPr>
  </w:style>
  <w:style w:type="paragraph" w:styleId="CommentSubject">
    <w:name w:val="annotation subject"/>
    <w:basedOn w:val="CommentText"/>
    <w:next w:val="CommentText"/>
    <w:link w:val="CommentSubjectChar"/>
    <w:rsid w:val="004850D0"/>
    <w:rPr>
      <w:b/>
      <w:bCs/>
    </w:rPr>
  </w:style>
  <w:style w:type="character" w:customStyle="1" w:styleId="CommentSubjectChar">
    <w:name w:val="Comment Subject Char"/>
    <w:basedOn w:val="CommentTextChar"/>
    <w:link w:val="CommentSubject"/>
    <w:rsid w:val="004850D0"/>
    <w:rPr>
      <w:b/>
      <w:bCs/>
    </w:rPr>
  </w:style>
  <w:style w:type="character" w:styleId="FollowedHyperlink">
    <w:name w:val="FollowedHyperlink"/>
    <w:basedOn w:val="DefaultParagraphFont"/>
    <w:rsid w:val="00222EC5"/>
    <w:rPr>
      <w:color w:val="800080" w:themeColor="followedHyperlink"/>
      <w:u w:val="single"/>
    </w:rPr>
  </w:style>
  <w:style w:type="character" w:customStyle="1" w:styleId="title-presub">
    <w:name w:val="title-presub"/>
    <w:basedOn w:val="DefaultParagraphFont"/>
    <w:rsid w:val="006D3072"/>
  </w:style>
  <w:style w:type="character" w:customStyle="1" w:styleId="Subtitle1">
    <w:name w:val="Subtitle1"/>
    <w:basedOn w:val="DefaultParagraphFont"/>
    <w:rsid w:val="006D3072"/>
  </w:style>
  <w:style w:type="character" w:customStyle="1" w:styleId="protocol">
    <w:name w:val="protocol"/>
    <w:rsid w:val="0043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j.org/pdf/extenders_december_2013.pdf" TargetMode="External"/><Relationship Id="rId18" Type="http://schemas.openxmlformats.org/officeDocument/2006/relationships/hyperlink" Target="http://www.americansfortaxfairness.org/files/CBO-Costs-of-Extending-Tax-Provisions-Set-to-Expire-Before-2024-Table-7-ONLY-2-14-2014.xlsx" TargetMode="External"/><Relationship Id="rId26" Type="http://schemas.openxmlformats.org/officeDocument/2006/relationships/hyperlink" Target="http://www.thewrap.com/hollywood-loses-federal-tax-credit-will-government-step/" TargetMode="External"/><Relationship Id="rId3" Type="http://schemas.openxmlformats.org/officeDocument/2006/relationships/styles" Target="styles.xml"/><Relationship Id="rId21" Type="http://schemas.openxmlformats.org/officeDocument/2006/relationships/hyperlink" Target="http://www.epi.org/publication/tax-extender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tj.org/ctjreports/2012/08/dont_renew_the_offshore_tax_loopholes.php" TargetMode="External"/><Relationship Id="rId17" Type="http://schemas.openxmlformats.org/officeDocument/2006/relationships/hyperlink" Target="http://www.sbs.ox.ac.uk/sites/default/files/Business_Taxation/Docs/WP1208.pdf" TargetMode="External"/><Relationship Id="rId25" Type="http://schemas.openxmlformats.org/officeDocument/2006/relationships/hyperlink" Target="http://www.americansfortaxfairness.org/files/CBO-Costs-of-Extending-Tax-Provisions-Set-to-Expire-Before-2024-Table-7-ONLY-2-14-2014.xlsx"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mericansfortaxfairness.org/files/CFC-Look-Thru-Rule-Congress-Changes-Landscape-of-Subpart-F-Tax-Notes-20063-1.pdf" TargetMode="External"/><Relationship Id="rId20" Type="http://schemas.openxmlformats.org/officeDocument/2006/relationships/hyperlink" Target="http://www.ctj.org/pdf/researchcredit.pdf" TargetMode="External"/><Relationship Id="rId29" Type="http://schemas.openxmlformats.org/officeDocument/2006/relationships/hyperlink" Target="http://www.horsecouncil.org/legislation/equityact110.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post.com/wp-dyn/content/article/2010/12/22/AR2010122204963.html" TargetMode="External"/><Relationship Id="rId24" Type="http://schemas.openxmlformats.org/officeDocument/2006/relationships/hyperlink" Target="http://www.law.cornell.edu/uscode/text/26/168"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vin.senate.gov/newsroom/speeches/speech/senate-floor-statement-on-introducing-the-stop-tax-haven-abuse-act/" TargetMode="External"/><Relationship Id="rId23" Type="http://schemas.openxmlformats.org/officeDocument/2006/relationships/hyperlink" Target="http://www.washingtonpost.com/blogs/wonkblog/wp/2013/01/02/from-nascar-to-rum-the-10-weirdest-parts-of-the-fiscal-cliff-deal/" TargetMode="External"/><Relationship Id="rId28" Type="http://schemas.openxmlformats.org/officeDocument/2006/relationships/hyperlink" Target="http://www.americansfortaxfairness.org/files/CBO-Costs-of-Extending-Tax-Provisions-Set-to-Expire-Before-2024-Table-7-ONLY-2-14-2014.xlsx" TargetMode="External"/><Relationship Id="rId10" Type="http://schemas.openxmlformats.org/officeDocument/2006/relationships/hyperlink" Target="http://www.americansfortaxfairness.org/files/CBO-Costs-of-Extending-Tax-Provisions-Set-to-Expire-Before-2024-Table-7-ONLY-2-14-2014.xlsx" TargetMode="External"/><Relationship Id="rId19" Type="http://schemas.openxmlformats.org/officeDocument/2006/relationships/hyperlink" Target="http://www.ieeeusa.org/policy/eyeonwashington/2011/documents/researchtaxcredit.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ericansfortaxfairness.org/files/CBO-Costs-of-Extending-Tax-Provisions-Set-to-Expire-Before-2024-Table-7-ONLY-2-14-2014.xlsx" TargetMode="External"/><Relationship Id="rId14" Type="http://schemas.openxmlformats.org/officeDocument/2006/relationships/hyperlink" Target="http://www.americansfortaxfairness.org/files/CBO-Costs-of-Extending-Tax-Provisions-Set-to-Expire-Before-2024-Table-7-ONLY-2-14-2014.xlsx" TargetMode="External"/><Relationship Id="rId22" Type="http://schemas.openxmlformats.org/officeDocument/2006/relationships/hyperlink" Target="http://www.americansfortaxfairness.org/files/CBO-Costs-of-Extending-Tax-Provisions-Set-to-Expire-Before-2024-Table-7-ONLY-2-14-2014.xlsx" TargetMode="External"/><Relationship Id="rId27" Type="http://schemas.openxmlformats.org/officeDocument/2006/relationships/hyperlink" Target="http://www.law.cornell.edu/uscode/text/26/181" TargetMode="External"/><Relationship Id="rId30" Type="http://schemas.openxmlformats.org/officeDocument/2006/relationships/hyperlink" Target="http://www.horsecouncil.org/legislation/equityact110.php" TargetMode="External"/><Relationship Id="rId35"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ieeeusa.org/policy/eyeonwashington/2011/documents/researchtaxcredit.pdf" TargetMode="External"/><Relationship Id="rId13" Type="http://schemas.openxmlformats.org/officeDocument/2006/relationships/hyperlink" Target="http://www.thewrap.com/hollywood-loses-federal-tax-credit-will-government-step/" TargetMode="External"/><Relationship Id="rId3" Type="http://schemas.openxmlformats.org/officeDocument/2006/relationships/hyperlink" Target="http://ctj.org/ctjreports/2012/08/dont_renew_the_offshore_tax_loopholes.php" TargetMode="External"/><Relationship Id="rId7" Type="http://schemas.openxmlformats.org/officeDocument/2006/relationships/hyperlink" Target="http://www.sbs.ox.ac.uk/sites/default/files/Business_Taxation/Docs/WP1208.pdf" TargetMode="External"/><Relationship Id="rId12" Type="http://schemas.openxmlformats.org/officeDocument/2006/relationships/hyperlink" Target="http://www.law.cornell.edu/uscode/text/26/168" TargetMode="External"/><Relationship Id="rId2" Type="http://schemas.openxmlformats.org/officeDocument/2006/relationships/hyperlink" Target="http://www.washingtonpost.com/wp-dyn/content/article/2010/12/22/AR2010122204963.html" TargetMode="External"/><Relationship Id="rId16" Type="http://schemas.openxmlformats.org/officeDocument/2006/relationships/hyperlink" Target="http://www.horsecouncil.org/legislation/equityact110.php" TargetMode="External"/><Relationship Id="rId1" Type="http://schemas.openxmlformats.org/officeDocument/2006/relationships/hyperlink" Target="http://bit.ly/1jbDLDM" TargetMode="External"/><Relationship Id="rId6" Type="http://schemas.openxmlformats.org/officeDocument/2006/relationships/hyperlink" Target="https://mail-attachment.googleusercontent.com/attachment/u/0/?ui=2&amp;ik=e70871d792&amp;view=att&amp;th=144282d3b86dd16a&amp;attid=0.1&amp;disp=safe&amp;zw&amp;saduie=AG9B_P-zOdL9UbgIxPJUdGb4kYjh&amp;sadet=1392257786274&amp;sads=hWyh6jpZ7rzkuA3DMTRcC2conlA" TargetMode="External"/><Relationship Id="rId11" Type="http://schemas.openxmlformats.org/officeDocument/2006/relationships/hyperlink" Target="http://www.washingtonpost.com/blogs/wonkblog/wp/2013/01/02/from-nascar-to-rum-the-10-weirdest-parts-of-the-fiscal-cliff-deal/" TargetMode="External"/><Relationship Id="rId5" Type="http://schemas.openxmlformats.org/officeDocument/2006/relationships/hyperlink" Target="http://www.levin.senate.gov/newsroom/speeches/speech/senate-floor-statement-on-introducing-the-stop-tax-haven-abuse-act/" TargetMode="External"/><Relationship Id="rId15" Type="http://schemas.openxmlformats.org/officeDocument/2006/relationships/hyperlink" Target="http://www.horsecouncil.org/legislation/equityact110.php" TargetMode="External"/><Relationship Id="rId10" Type="http://schemas.openxmlformats.org/officeDocument/2006/relationships/hyperlink" Target="http://www.epi.org/publication/tax-extenders/" TargetMode="External"/><Relationship Id="rId4" Type="http://schemas.openxmlformats.org/officeDocument/2006/relationships/hyperlink" Target="http://www.ctj.org/pdf/extenders_december_2013.pdf" TargetMode="External"/><Relationship Id="rId9" Type="http://schemas.openxmlformats.org/officeDocument/2006/relationships/hyperlink" Target="http://www.ctj.org/pdf/researchcredit.pdf" TargetMode="External"/><Relationship Id="rId14" Type="http://schemas.openxmlformats.org/officeDocument/2006/relationships/hyperlink" Target="http://www.law.cornell.edu/uscode/text/26/181"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mericansForTaxFairness.org" TargetMode="External"/><Relationship Id="rId2" Type="http://schemas.openxmlformats.org/officeDocument/2006/relationships/hyperlink" Target="http://www.Facebook.com/Americans4TaxFairness" TargetMode="External"/><Relationship Id="rId1" Type="http://schemas.openxmlformats.org/officeDocument/2006/relationships/hyperlink" Target="http://www.AmericansForTaxFairness.org" TargetMode="External"/><Relationship Id="rId4" Type="http://schemas.openxmlformats.org/officeDocument/2006/relationships/hyperlink" Target="http://www.Facebook.com/Americans4TaxFairnes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Americans4TaxFairness" TargetMode="External"/><Relationship Id="rId1" Type="http://schemas.openxmlformats.org/officeDocument/2006/relationships/hyperlink" Target="http://www.AmericansForTaxFair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86138-0F08-46EE-B25F-5544745A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CAF</Company>
  <LinksUpToDate>false</LinksUpToDate>
  <CharactersWithSpaces>8556</CharactersWithSpaces>
  <SharedDoc>false</SharedDoc>
  <HLinks>
    <vt:vector size="30" baseType="variant">
      <vt:variant>
        <vt:i4>1572955</vt:i4>
      </vt:variant>
      <vt:variant>
        <vt:i4>6</vt:i4>
      </vt:variant>
      <vt:variant>
        <vt:i4>0</vt:i4>
      </vt:variant>
      <vt:variant>
        <vt:i4>5</vt:i4>
      </vt:variant>
      <vt:variant>
        <vt:lpwstr>http://www.facebook.com/Americans4TaxFairness</vt:lpwstr>
      </vt:variant>
      <vt:variant>
        <vt:lpwstr/>
      </vt:variant>
      <vt:variant>
        <vt:i4>3801209</vt:i4>
      </vt:variant>
      <vt:variant>
        <vt:i4>3</vt:i4>
      </vt:variant>
      <vt:variant>
        <vt:i4>0</vt:i4>
      </vt:variant>
      <vt:variant>
        <vt:i4>5</vt:i4>
      </vt:variant>
      <vt:variant>
        <vt:lpwstr>http://www.americansfortaxfairness.org/</vt:lpwstr>
      </vt:variant>
      <vt:variant>
        <vt:lpwstr/>
      </vt:variant>
      <vt:variant>
        <vt:i4>1572955</vt:i4>
      </vt:variant>
      <vt:variant>
        <vt:i4>3</vt:i4>
      </vt:variant>
      <vt:variant>
        <vt:i4>0</vt:i4>
      </vt:variant>
      <vt:variant>
        <vt:i4>5</vt:i4>
      </vt:variant>
      <vt:variant>
        <vt:lpwstr>http://www.facebook.com/Americans4TaxFairness</vt:lpwstr>
      </vt:variant>
      <vt:variant>
        <vt:lpwstr/>
      </vt:variant>
      <vt:variant>
        <vt:i4>3801209</vt:i4>
      </vt:variant>
      <vt:variant>
        <vt:i4>0</vt:i4>
      </vt:variant>
      <vt:variant>
        <vt:i4>0</vt:i4>
      </vt:variant>
      <vt:variant>
        <vt:i4>5</vt:i4>
      </vt:variant>
      <vt:variant>
        <vt:lpwstr>http://www.americansfortaxfairness.org/</vt:lpwstr>
      </vt:variant>
      <vt:variant>
        <vt:lpwstr/>
      </vt:variant>
      <vt:variant>
        <vt:i4>8126505</vt:i4>
      </vt:variant>
      <vt:variant>
        <vt:i4>-1</vt:i4>
      </vt:variant>
      <vt:variant>
        <vt:i4>1039</vt:i4>
      </vt:variant>
      <vt:variant>
        <vt:i4>1</vt:i4>
      </vt:variant>
      <vt:variant>
        <vt:lpwstr>Macintosh HD:2012/OTHERS:TaxFairness:1201/LOGO:LOGO:Letterhead.jpg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Bad Tax Extenders</dc:subject>
  <dc:creator>Trial User</dc:creator>
  <cp:keywords>tax extenders</cp:keywords>
  <cp:lastModifiedBy>Bill Gordon</cp:lastModifiedBy>
  <cp:revision>2</cp:revision>
  <cp:lastPrinted>2014-02-20T18:41:00Z</cp:lastPrinted>
  <dcterms:created xsi:type="dcterms:W3CDTF">2014-03-24T14:37:00Z</dcterms:created>
  <dcterms:modified xsi:type="dcterms:W3CDTF">2014-03-24T14:37:00Z</dcterms:modified>
</cp:coreProperties>
</file>